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120F8" w14:textId="77777777" w:rsidR="00C87AD4" w:rsidRDefault="00C87AD4" w:rsidP="00C87AD4">
      <w:pPr>
        <w:tabs>
          <w:tab w:val="left" w:pos="0"/>
        </w:tabs>
        <w:ind w:right="-180"/>
        <w:rPr>
          <w:rFonts w:ascii="Helvetica" w:hAnsi="Helvetica"/>
          <w:b/>
          <w:sz w:val="36"/>
        </w:rPr>
      </w:pPr>
    </w:p>
    <w:p w14:paraId="0A7AB518" w14:textId="77777777" w:rsidR="00C87AD4" w:rsidRDefault="00C87AD4" w:rsidP="00C87AD4">
      <w:pPr>
        <w:tabs>
          <w:tab w:val="left" w:pos="0"/>
        </w:tabs>
        <w:ind w:right="-180"/>
        <w:rPr>
          <w:rFonts w:ascii="Helvetica" w:hAnsi="Helvetica"/>
          <w:b/>
          <w:sz w:val="36"/>
        </w:rPr>
      </w:pPr>
    </w:p>
    <w:p w14:paraId="20821BE2" w14:textId="6299D95C" w:rsidR="00C87AD4" w:rsidRPr="003A01D9" w:rsidRDefault="00D37B1D" w:rsidP="003A01D9">
      <w:pPr>
        <w:tabs>
          <w:tab w:val="left" w:pos="0"/>
        </w:tabs>
        <w:ind w:right="-180"/>
        <w:rPr>
          <w:rFonts w:ascii="Helvetica" w:hAnsi="Helvetica"/>
          <w:b/>
          <w:sz w:val="36"/>
        </w:rPr>
      </w:pPr>
      <w:r w:rsidRPr="00D37B1D">
        <w:rPr>
          <w:rFonts w:ascii="Helvetica" w:hAnsi="Helvetica"/>
          <w:b/>
          <w:sz w:val="36"/>
        </w:rPr>
        <w:t>E3-DEEP POUR</w:t>
      </w:r>
      <w:r w:rsidR="005B3895">
        <w:rPr>
          <w:rFonts w:ascii="Helvetica" w:hAnsi="Helvetica"/>
          <w:b/>
          <w:sz w:val="36"/>
        </w:rPr>
        <w:t xml:space="preserve"> </w:t>
      </w:r>
    </w:p>
    <w:p w14:paraId="3A746F7D" w14:textId="77777777" w:rsidR="00C87AD4" w:rsidRPr="00C87AD4" w:rsidRDefault="00C87AD4" w:rsidP="00C87AD4">
      <w:pPr>
        <w:rPr>
          <w:rFonts w:ascii="Helvetica" w:hAnsi="Helvetica"/>
          <w:b/>
          <w:sz w:val="16"/>
        </w:rPr>
      </w:pPr>
    </w:p>
    <w:p w14:paraId="4EFE2FEB" w14:textId="080464BB" w:rsidR="00D37B1D" w:rsidRPr="00633059" w:rsidRDefault="00D37B1D" w:rsidP="00D37B1D">
      <w:pPr>
        <w:pStyle w:val="CMT"/>
        <w:contextualSpacing/>
        <w:jc w:val="left"/>
        <w:rPr>
          <w:rFonts w:ascii="Helvetica" w:hAnsi="Helvetica"/>
          <w:b/>
          <w:i/>
          <w:color w:val="0066CC"/>
          <w:sz w:val="20"/>
        </w:rPr>
      </w:pPr>
      <w:r>
        <w:rPr>
          <w:rFonts w:ascii="Helvetica" w:hAnsi="Helvetica"/>
          <w:b/>
          <w:i/>
          <w:color w:val="0066CC"/>
          <w:sz w:val="20"/>
        </w:rPr>
        <w:t xml:space="preserve">{Note au rédacteur : Cet ajout aux spécifications </w:t>
      </w:r>
      <w:r w:rsidRPr="00633059">
        <w:rPr>
          <w:rFonts w:ascii="Helvetica" w:hAnsi="Helvetica"/>
          <w:b/>
          <w:i/>
          <w:color w:val="0066CC"/>
          <w:sz w:val="20"/>
        </w:rPr>
        <w:t>donne des précisions à propos du coulis époxydique E</w:t>
      </w:r>
      <w:r w:rsidRPr="00633059">
        <w:rPr>
          <w:rFonts w:ascii="Helvetica" w:hAnsi="Helvetica"/>
          <w:b/>
          <w:i/>
          <w:color w:val="0066CC"/>
          <w:sz w:val="20"/>
          <w:vertAlign w:val="superscript"/>
        </w:rPr>
        <w:t>3</w:t>
      </w:r>
      <w:r w:rsidRPr="00633059">
        <w:rPr>
          <w:rFonts w:ascii="Helvetica" w:hAnsi="Helvetica"/>
          <w:b/>
          <w:i/>
          <w:color w:val="0066CC"/>
          <w:sz w:val="20"/>
        </w:rPr>
        <w:noBreakHyphen/>
        <w:t>DEEP POUR d'Euclid Canada intégrant une technologie anti-poussière pour une réduction du dégagement de poussière pendant le malaxage. E</w:t>
      </w:r>
      <w:r w:rsidRPr="00633059">
        <w:rPr>
          <w:rFonts w:ascii="Helvetica" w:hAnsi="Helvetica"/>
          <w:b/>
          <w:i/>
          <w:color w:val="0066CC"/>
          <w:sz w:val="20"/>
          <w:vertAlign w:val="superscript"/>
        </w:rPr>
        <w:t>3</w:t>
      </w:r>
      <w:r w:rsidRPr="00633059">
        <w:rPr>
          <w:rFonts w:ascii="Helvetica" w:hAnsi="Helvetica"/>
          <w:b/>
          <w:i/>
          <w:color w:val="0066CC"/>
          <w:sz w:val="20"/>
        </w:rPr>
        <w:t>-DEEP POUR est un coulis époxydique à haute résistance conçu pour le jointoiement des bases de machines et d'équipements de tous genres. Grâce à sa formulation permettant son usage pour des mises en place profondes, E</w:t>
      </w:r>
      <w:r w:rsidRPr="00633059">
        <w:rPr>
          <w:rFonts w:ascii="Helvetica" w:hAnsi="Helvetica"/>
          <w:b/>
          <w:i/>
          <w:color w:val="0066CC"/>
          <w:sz w:val="20"/>
          <w:vertAlign w:val="superscript"/>
        </w:rPr>
        <w:t>3</w:t>
      </w:r>
      <w:r w:rsidRPr="00633059">
        <w:rPr>
          <w:rFonts w:ascii="Helvetica" w:hAnsi="Helvetica"/>
          <w:b/>
          <w:i/>
          <w:color w:val="0066CC"/>
          <w:sz w:val="20"/>
        </w:rPr>
        <w:t>-DEEP POUR convient au jointoiement de bases aux configurations variées. E</w:t>
      </w:r>
      <w:r w:rsidRPr="00633059">
        <w:rPr>
          <w:rFonts w:ascii="Helvetica" w:hAnsi="Helvetica"/>
          <w:b/>
          <w:i/>
          <w:color w:val="0066CC"/>
          <w:sz w:val="20"/>
          <w:vertAlign w:val="superscript"/>
        </w:rPr>
        <w:t>3</w:t>
      </w:r>
      <w:r w:rsidRPr="00633059">
        <w:rPr>
          <w:rFonts w:ascii="Helvetica" w:hAnsi="Helvetica"/>
          <w:b/>
          <w:i/>
          <w:color w:val="0066CC"/>
          <w:sz w:val="20"/>
        </w:rPr>
        <w:t xml:space="preserve">-DEEP POUR procure d'excellentes caractéristiques sur le plan de la résistance, de la résistance à la corrosion, et de l'adhérence aux socles de machinerie et aux fondations; il offre une capacité portante maximale et créée un jointoiement qui dure. </w:t>
      </w:r>
    </w:p>
    <w:p w14:paraId="08812902" w14:textId="77777777" w:rsidR="00D37B1D" w:rsidRPr="00633059" w:rsidRDefault="00D37B1D" w:rsidP="00D37B1D">
      <w:pPr>
        <w:pStyle w:val="CMT"/>
        <w:contextualSpacing/>
        <w:jc w:val="left"/>
        <w:rPr>
          <w:rFonts w:ascii="Helvetica" w:hAnsi="Helvetica"/>
          <w:color w:val="auto"/>
          <w:sz w:val="20"/>
        </w:rPr>
      </w:pPr>
    </w:p>
    <w:p w14:paraId="5E0EF503" w14:textId="539F4566" w:rsidR="00D37B1D" w:rsidRDefault="00D37B1D" w:rsidP="00D37B1D">
      <w:pPr>
        <w:pStyle w:val="CMT"/>
        <w:contextualSpacing/>
        <w:jc w:val="left"/>
        <w:rPr>
          <w:rFonts w:ascii="Helvetica" w:hAnsi="Helvetica"/>
          <w:b/>
          <w:i/>
          <w:color w:val="0070C0"/>
          <w:sz w:val="20"/>
        </w:rPr>
      </w:pPr>
      <w:r w:rsidRPr="00633059">
        <w:rPr>
          <w:rFonts w:ascii="Helvetica" w:hAnsi="Helvetica"/>
          <w:b/>
          <w:i/>
          <w:color w:val="0070C0"/>
          <w:sz w:val="20"/>
        </w:rPr>
        <w:t>{Note au rédacteur : Les paragraphes ci-dessous sont conçus pour être intégrés aux parties 1, 2 et 3 des spécifications en trois parties du format CSI (normalement 03 30 00), aux remarques générales des ouvrages du projet ou directement aux plans. Ces paragraphes doivent</w:t>
      </w:r>
      <w:r>
        <w:rPr>
          <w:rFonts w:ascii="Helvetica" w:hAnsi="Helvetica"/>
          <w:b/>
          <w:i/>
          <w:color w:val="0070C0"/>
          <w:sz w:val="20"/>
        </w:rPr>
        <w:t xml:space="preserve"> être attentivement revus et modifiés par un professionnel en conception qualifié afin de répondre aux exigences particulières du projet et d'assurer leur conformité aux codes du bâtiment en vigueur et leur harmonisation avec les autres sections de spécification et les dessins.}</w:t>
      </w:r>
    </w:p>
    <w:p w14:paraId="7EDA5245" w14:textId="77777777" w:rsidR="00D37B1D" w:rsidRPr="00596B06" w:rsidRDefault="00D37B1D" w:rsidP="00D37B1D">
      <w:pPr>
        <w:pStyle w:val="CMT"/>
        <w:contextualSpacing/>
        <w:jc w:val="left"/>
        <w:rPr>
          <w:rFonts w:ascii="Helvetica" w:hAnsi="Helvetica"/>
          <w:b/>
          <w:i/>
          <w:color w:val="auto"/>
          <w:sz w:val="20"/>
        </w:rPr>
      </w:pPr>
    </w:p>
    <w:p w14:paraId="18932DA2" w14:textId="77777777" w:rsidR="00D37B1D" w:rsidRPr="000B68EA" w:rsidRDefault="00D37B1D" w:rsidP="00D37B1D">
      <w:pPr>
        <w:pStyle w:val="CMT"/>
        <w:contextualSpacing/>
        <w:jc w:val="left"/>
        <w:rPr>
          <w:rFonts w:ascii="Helvetica" w:hAnsi="Helvetica"/>
          <w:color w:val="auto"/>
          <w:sz w:val="20"/>
        </w:rPr>
      </w:pPr>
      <w:r>
        <w:rPr>
          <w:rFonts w:ascii="Helvetica" w:hAnsi="Helvetica"/>
          <w:color w:val="auto"/>
          <w:sz w:val="20"/>
        </w:rPr>
        <w:t>PARTIE 1 :</w:t>
      </w:r>
      <w:r>
        <w:rPr>
          <w:rFonts w:ascii="Helvetica" w:hAnsi="Helvetica"/>
          <w:color w:val="auto"/>
          <w:sz w:val="20"/>
        </w:rPr>
        <w:tab/>
        <w:t>GÉNÉRALITÉS</w:t>
      </w:r>
    </w:p>
    <w:p w14:paraId="614A7066" w14:textId="77777777" w:rsidR="00D37B1D" w:rsidRPr="00596B06" w:rsidRDefault="00D37B1D" w:rsidP="00D37B1D">
      <w:pPr>
        <w:pStyle w:val="CMT"/>
        <w:contextualSpacing/>
        <w:jc w:val="left"/>
        <w:rPr>
          <w:rFonts w:ascii="Helvetica" w:hAnsi="Helvetica"/>
          <w:b/>
          <w:i/>
          <w:color w:val="auto"/>
          <w:sz w:val="20"/>
        </w:rPr>
      </w:pPr>
    </w:p>
    <w:p w14:paraId="7FC6DD01" w14:textId="77777777" w:rsidR="00D37B1D" w:rsidRPr="00995768" w:rsidRDefault="00D37B1D" w:rsidP="00D37B1D">
      <w:pPr>
        <w:pStyle w:val="CMT"/>
        <w:contextualSpacing/>
        <w:jc w:val="left"/>
        <w:rPr>
          <w:rFonts w:ascii="Helvetica" w:hAnsi="Helvetica"/>
          <w:color w:val="auto"/>
          <w:sz w:val="20"/>
        </w:rPr>
      </w:pPr>
      <w:r>
        <w:rPr>
          <w:rFonts w:ascii="Helvetica" w:hAnsi="Helvetica"/>
          <w:color w:val="auto"/>
          <w:sz w:val="20"/>
        </w:rPr>
        <w:t>1.1</w:t>
      </w:r>
      <w:r>
        <w:rPr>
          <w:rFonts w:ascii="Helvetica" w:hAnsi="Helvetica"/>
          <w:color w:val="auto"/>
          <w:sz w:val="20"/>
        </w:rPr>
        <w:tab/>
        <w:t>EXIGENCES RELATIVES À LA QUALITÉ</w:t>
      </w:r>
    </w:p>
    <w:p w14:paraId="0B197B68" w14:textId="77777777" w:rsidR="00D37B1D" w:rsidRPr="00596B06" w:rsidRDefault="00D37B1D" w:rsidP="00D37B1D">
      <w:pPr>
        <w:pStyle w:val="CMT"/>
        <w:contextualSpacing/>
        <w:jc w:val="left"/>
        <w:rPr>
          <w:rFonts w:ascii="Helvetica" w:hAnsi="Helvetica"/>
          <w:color w:val="auto"/>
          <w:sz w:val="20"/>
        </w:rPr>
      </w:pPr>
    </w:p>
    <w:p w14:paraId="6BA00AFD" w14:textId="77777777" w:rsidR="00D37B1D" w:rsidRPr="00995768" w:rsidRDefault="00D37B1D" w:rsidP="000F0D1C">
      <w:pPr>
        <w:pStyle w:val="CMT"/>
        <w:ind w:left="1440" w:hanging="720"/>
        <w:contextualSpacing/>
        <w:jc w:val="left"/>
        <w:rPr>
          <w:rFonts w:ascii="Helvetica" w:hAnsi="Helvetica"/>
          <w:color w:val="auto"/>
          <w:sz w:val="20"/>
        </w:rPr>
      </w:pPr>
      <w:r>
        <w:rPr>
          <w:rFonts w:ascii="Helvetica" w:hAnsi="Helvetica"/>
          <w:color w:val="auto"/>
          <w:sz w:val="20"/>
        </w:rPr>
        <w:t>A.</w:t>
      </w:r>
      <w:r>
        <w:rPr>
          <w:rFonts w:ascii="Helvetica" w:hAnsi="Helvetica"/>
          <w:color w:val="auto"/>
          <w:sz w:val="20"/>
        </w:rPr>
        <w:tab/>
        <w:t>Fabricant : Certification ISO 9001 en matière de qualité en tant que fabricant principal des produits spécifiés.</w:t>
      </w:r>
    </w:p>
    <w:p w14:paraId="75D26D50" w14:textId="77777777" w:rsidR="00D37B1D" w:rsidRPr="00596B06" w:rsidRDefault="00D37B1D" w:rsidP="00D37B1D">
      <w:pPr>
        <w:pStyle w:val="CMT"/>
        <w:contextualSpacing/>
        <w:jc w:val="left"/>
        <w:rPr>
          <w:rFonts w:ascii="Helvetica" w:hAnsi="Helvetica"/>
          <w:color w:val="auto"/>
          <w:sz w:val="20"/>
        </w:rPr>
      </w:pPr>
    </w:p>
    <w:p w14:paraId="24B89B5D" w14:textId="77777777" w:rsidR="00D37B1D" w:rsidRPr="00995768" w:rsidRDefault="00D37B1D" w:rsidP="00D37B1D">
      <w:pPr>
        <w:pStyle w:val="CMT"/>
        <w:contextualSpacing/>
        <w:jc w:val="left"/>
        <w:rPr>
          <w:rFonts w:ascii="Helvetica" w:hAnsi="Helvetica"/>
          <w:color w:val="auto"/>
          <w:sz w:val="20"/>
        </w:rPr>
      </w:pPr>
      <w:r>
        <w:rPr>
          <w:rFonts w:ascii="Helvetica" w:hAnsi="Helvetica"/>
          <w:color w:val="auto"/>
          <w:sz w:val="20"/>
        </w:rPr>
        <w:t>1.2</w:t>
      </w:r>
      <w:r>
        <w:rPr>
          <w:rFonts w:ascii="Helvetica" w:hAnsi="Helvetica"/>
          <w:color w:val="auto"/>
          <w:sz w:val="20"/>
        </w:rPr>
        <w:tab/>
        <w:t>INFORMATION À SOUMETTRE</w:t>
      </w:r>
    </w:p>
    <w:p w14:paraId="592CF7A8" w14:textId="77777777" w:rsidR="00D37B1D" w:rsidRPr="00596B06" w:rsidRDefault="00D37B1D" w:rsidP="00D37B1D">
      <w:pPr>
        <w:pStyle w:val="CMT"/>
        <w:contextualSpacing/>
        <w:jc w:val="left"/>
        <w:rPr>
          <w:rFonts w:ascii="Helvetica" w:hAnsi="Helvetica"/>
          <w:color w:val="auto"/>
          <w:sz w:val="20"/>
        </w:rPr>
      </w:pPr>
    </w:p>
    <w:p w14:paraId="2D25BCB4" w14:textId="77777777" w:rsidR="00D37B1D" w:rsidRPr="00995768" w:rsidRDefault="00D37B1D" w:rsidP="00D37B1D">
      <w:pPr>
        <w:pStyle w:val="CMT"/>
        <w:ind w:left="1440" w:hanging="720"/>
        <w:contextualSpacing/>
        <w:jc w:val="left"/>
        <w:rPr>
          <w:rFonts w:ascii="Helvetica" w:hAnsi="Helvetica"/>
          <w:color w:val="auto"/>
          <w:sz w:val="20"/>
        </w:rPr>
      </w:pPr>
      <w:r>
        <w:rPr>
          <w:rFonts w:ascii="Helvetica" w:hAnsi="Helvetica"/>
          <w:color w:val="auto"/>
          <w:sz w:val="20"/>
        </w:rPr>
        <w:t>A.</w:t>
      </w:r>
      <w:r>
        <w:rPr>
          <w:rFonts w:ascii="Helvetica" w:hAnsi="Helvetica"/>
          <w:color w:val="auto"/>
          <w:sz w:val="20"/>
        </w:rPr>
        <w:tab/>
        <w:t xml:space="preserve">Liste de produits : Dresser la liste de tous les produits proposés à titre de coulis époxydique en indiquant leur nom et leur fabricant. </w:t>
      </w:r>
    </w:p>
    <w:p w14:paraId="1BC5029C" w14:textId="77777777" w:rsidR="00D37B1D" w:rsidRPr="00596B06" w:rsidRDefault="00D37B1D" w:rsidP="00D37B1D">
      <w:pPr>
        <w:pStyle w:val="CMT"/>
        <w:ind w:left="1440" w:hanging="720"/>
        <w:contextualSpacing/>
        <w:jc w:val="left"/>
        <w:rPr>
          <w:rFonts w:ascii="Helvetica" w:hAnsi="Helvetica"/>
          <w:color w:val="auto"/>
          <w:sz w:val="20"/>
        </w:rPr>
      </w:pPr>
    </w:p>
    <w:p w14:paraId="7001DD81" w14:textId="77777777" w:rsidR="00D37B1D" w:rsidRPr="00995768" w:rsidRDefault="00D37B1D" w:rsidP="00D37B1D">
      <w:pPr>
        <w:pStyle w:val="CMT"/>
        <w:ind w:left="1440" w:hanging="720"/>
        <w:contextualSpacing/>
        <w:jc w:val="left"/>
        <w:rPr>
          <w:rFonts w:ascii="Helvetica" w:hAnsi="Helvetica"/>
          <w:color w:val="auto"/>
          <w:sz w:val="20"/>
        </w:rPr>
      </w:pPr>
      <w:r>
        <w:rPr>
          <w:rFonts w:ascii="Helvetica" w:hAnsi="Helvetica"/>
          <w:color w:val="auto"/>
          <w:sz w:val="20"/>
        </w:rPr>
        <w:t>B.</w:t>
      </w:r>
      <w:r>
        <w:rPr>
          <w:rFonts w:ascii="Helvetica" w:hAnsi="Helvetica"/>
          <w:color w:val="auto"/>
          <w:sz w:val="20"/>
        </w:rPr>
        <w:tab/>
        <w:t>Certificat du fabricant : Le certificat doit indiquer que les produits de la liste de l'entrepreneur sont compatibles et adéquats pour l'utilisation spécifiée.</w:t>
      </w:r>
    </w:p>
    <w:p w14:paraId="129B9EF8" w14:textId="77777777" w:rsidR="00D37B1D" w:rsidRPr="00596B06" w:rsidRDefault="00D37B1D" w:rsidP="00D37B1D">
      <w:pPr>
        <w:pStyle w:val="CMT"/>
        <w:contextualSpacing/>
        <w:jc w:val="left"/>
        <w:rPr>
          <w:rFonts w:ascii="Helvetica" w:hAnsi="Helvetica"/>
          <w:color w:val="auto"/>
          <w:sz w:val="20"/>
        </w:rPr>
      </w:pPr>
    </w:p>
    <w:p w14:paraId="772E425E" w14:textId="77777777" w:rsidR="00D37B1D" w:rsidRPr="00596B06" w:rsidRDefault="00D37B1D" w:rsidP="00D37B1D">
      <w:pPr>
        <w:pStyle w:val="CMT"/>
        <w:contextualSpacing/>
        <w:jc w:val="left"/>
        <w:rPr>
          <w:rFonts w:ascii="Helvetica" w:hAnsi="Helvetica"/>
          <w:color w:val="auto"/>
          <w:sz w:val="20"/>
        </w:rPr>
      </w:pPr>
    </w:p>
    <w:p w14:paraId="44B50BC8" w14:textId="77777777" w:rsidR="00D37B1D" w:rsidRPr="00995768" w:rsidRDefault="00D37B1D" w:rsidP="00D37B1D">
      <w:pPr>
        <w:pStyle w:val="CMT"/>
        <w:contextualSpacing/>
        <w:jc w:val="left"/>
        <w:rPr>
          <w:rFonts w:ascii="Helvetica" w:hAnsi="Helvetica"/>
          <w:color w:val="auto"/>
          <w:sz w:val="20"/>
        </w:rPr>
      </w:pPr>
      <w:r>
        <w:rPr>
          <w:rFonts w:ascii="Helvetica" w:hAnsi="Helvetica"/>
          <w:color w:val="auto"/>
          <w:sz w:val="20"/>
        </w:rPr>
        <w:t>PARTIE 2 :</w:t>
      </w:r>
      <w:r>
        <w:rPr>
          <w:rFonts w:ascii="Helvetica" w:hAnsi="Helvetica"/>
          <w:color w:val="auto"/>
          <w:sz w:val="20"/>
        </w:rPr>
        <w:tab/>
        <w:t>PRODUITS</w:t>
      </w:r>
    </w:p>
    <w:p w14:paraId="7091C667" w14:textId="77777777" w:rsidR="00D37B1D" w:rsidRPr="00596B06" w:rsidRDefault="00D37B1D" w:rsidP="00D37B1D">
      <w:pPr>
        <w:pStyle w:val="CMT"/>
        <w:contextualSpacing/>
        <w:jc w:val="left"/>
        <w:rPr>
          <w:rFonts w:ascii="Helvetica" w:hAnsi="Helvetica"/>
          <w:color w:val="auto"/>
          <w:sz w:val="20"/>
        </w:rPr>
      </w:pPr>
    </w:p>
    <w:p w14:paraId="237559F3" w14:textId="77777777" w:rsidR="00D37B1D" w:rsidRPr="000B68EA" w:rsidRDefault="00D37B1D" w:rsidP="00D37B1D">
      <w:pPr>
        <w:pStyle w:val="CMT"/>
        <w:contextualSpacing/>
        <w:jc w:val="left"/>
        <w:rPr>
          <w:rFonts w:ascii="Helvetica" w:hAnsi="Helvetica"/>
          <w:color w:val="auto"/>
          <w:sz w:val="20"/>
        </w:rPr>
      </w:pPr>
      <w:r>
        <w:rPr>
          <w:rFonts w:ascii="Helvetica" w:hAnsi="Helvetica"/>
          <w:color w:val="auto"/>
          <w:sz w:val="20"/>
        </w:rPr>
        <w:t>2.1</w:t>
      </w:r>
      <w:r>
        <w:rPr>
          <w:rFonts w:ascii="Helvetica" w:hAnsi="Helvetica"/>
          <w:color w:val="auto"/>
          <w:sz w:val="20"/>
        </w:rPr>
        <w:tab/>
        <w:t>FABRICANT</w:t>
      </w:r>
    </w:p>
    <w:p w14:paraId="680894EB" w14:textId="77777777" w:rsidR="00D37B1D" w:rsidRPr="00596B06" w:rsidRDefault="00D37B1D" w:rsidP="00D37B1D">
      <w:pPr>
        <w:pStyle w:val="CMT"/>
        <w:contextualSpacing/>
        <w:jc w:val="left"/>
        <w:rPr>
          <w:rFonts w:ascii="Helvetica" w:hAnsi="Helvetica"/>
          <w:color w:val="auto"/>
          <w:sz w:val="20"/>
        </w:rPr>
      </w:pPr>
    </w:p>
    <w:p w14:paraId="2C45ECD0" w14:textId="77777777" w:rsidR="00D37B1D" w:rsidRPr="00995768" w:rsidRDefault="00D37B1D" w:rsidP="00D37B1D">
      <w:pPr>
        <w:pStyle w:val="CMT"/>
        <w:ind w:left="1440" w:hanging="720"/>
        <w:contextualSpacing/>
        <w:jc w:val="left"/>
        <w:rPr>
          <w:rFonts w:ascii="Helvetica" w:hAnsi="Helvetica"/>
          <w:color w:val="auto"/>
          <w:sz w:val="20"/>
        </w:rPr>
      </w:pPr>
      <w:r>
        <w:rPr>
          <w:rFonts w:ascii="Helvetica" w:hAnsi="Helvetica"/>
          <w:color w:val="auto"/>
          <w:sz w:val="20"/>
        </w:rPr>
        <w:t>A.</w:t>
      </w:r>
      <w:r>
        <w:rPr>
          <w:rFonts w:ascii="Helvetica" w:hAnsi="Helvetica"/>
          <w:color w:val="auto"/>
          <w:sz w:val="20"/>
        </w:rPr>
        <w:tab/>
        <w:t xml:space="preserve">Fabricant : Dresser la liste des produits offerts par Euclid Canada; </w:t>
      </w:r>
      <w:hyperlink r:id="rId8" w:history="1">
        <w:r>
          <w:rPr>
            <w:rStyle w:val="Hyperlink"/>
            <w:rFonts w:ascii="Helvetica" w:hAnsi="Helvetica"/>
            <w:color w:val="auto"/>
            <w:sz w:val="20"/>
          </w:rPr>
          <w:t>www.euclidchemical.com</w:t>
        </w:r>
      </w:hyperlink>
      <w:r>
        <w:rPr>
          <w:rFonts w:ascii="Helvetica" w:hAnsi="Helvetica"/>
          <w:color w:val="auto"/>
          <w:sz w:val="20"/>
        </w:rPr>
        <w:t xml:space="preserve">. </w:t>
      </w:r>
    </w:p>
    <w:p w14:paraId="119AC18E" w14:textId="77777777" w:rsidR="00D37B1D" w:rsidRPr="00596B06" w:rsidRDefault="00D37B1D" w:rsidP="00D37B1D">
      <w:pPr>
        <w:pStyle w:val="CMT"/>
        <w:ind w:left="1440" w:hanging="720"/>
        <w:contextualSpacing/>
        <w:jc w:val="left"/>
        <w:rPr>
          <w:rFonts w:ascii="Helvetica" w:hAnsi="Helvetica"/>
          <w:color w:val="auto"/>
          <w:sz w:val="20"/>
        </w:rPr>
      </w:pPr>
    </w:p>
    <w:p w14:paraId="79001DD4" w14:textId="77777777" w:rsidR="00D37B1D" w:rsidRPr="00995768" w:rsidRDefault="00D37B1D" w:rsidP="00D37B1D">
      <w:pPr>
        <w:pStyle w:val="CMT"/>
        <w:ind w:left="1440" w:hanging="720"/>
        <w:contextualSpacing/>
        <w:jc w:val="left"/>
        <w:rPr>
          <w:rFonts w:ascii="Helvetica" w:hAnsi="Helvetica"/>
          <w:color w:val="auto"/>
          <w:sz w:val="20"/>
        </w:rPr>
      </w:pPr>
      <w:r>
        <w:rPr>
          <w:rFonts w:ascii="Helvetica" w:hAnsi="Helvetica"/>
          <w:color w:val="auto"/>
          <w:sz w:val="20"/>
        </w:rPr>
        <w:t>B.</w:t>
      </w:r>
      <w:r>
        <w:rPr>
          <w:rFonts w:ascii="Helvetica" w:hAnsi="Helvetica"/>
          <w:color w:val="auto"/>
          <w:sz w:val="20"/>
        </w:rPr>
        <w:tab/>
        <w:t>Fabricant source unique : Les coulis époxydiques doivent provenir d'un seul fabricant qualifié.</w:t>
      </w:r>
    </w:p>
    <w:p w14:paraId="14854587" w14:textId="77777777" w:rsidR="00D37B1D" w:rsidRPr="00596B06" w:rsidRDefault="00D37B1D" w:rsidP="00D37B1D">
      <w:pPr>
        <w:pStyle w:val="CMT"/>
        <w:contextualSpacing/>
        <w:jc w:val="left"/>
        <w:rPr>
          <w:rFonts w:ascii="Helvetica" w:hAnsi="Helvetica"/>
          <w:color w:val="auto"/>
          <w:sz w:val="20"/>
        </w:rPr>
      </w:pPr>
    </w:p>
    <w:p w14:paraId="57C91B17" w14:textId="2B990877" w:rsidR="00D37B1D" w:rsidRPr="00995768" w:rsidRDefault="00D37B1D" w:rsidP="00D37B1D">
      <w:pPr>
        <w:pStyle w:val="CMT"/>
        <w:contextualSpacing/>
        <w:jc w:val="left"/>
        <w:rPr>
          <w:rFonts w:ascii="Helvetica" w:hAnsi="Helvetica"/>
          <w:color w:val="auto"/>
          <w:sz w:val="20"/>
        </w:rPr>
      </w:pPr>
      <w:r>
        <w:rPr>
          <w:rFonts w:ascii="Helvetica" w:hAnsi="Helvetica"/>
          <w:color w:val="auto"/>
          <w:sz w:val="20"/>
        </w:rPr>
        <w:t>2.2</w:t>
      </w:r>
      <w:r>
        <w:rPr>
          <w:rFonts w:ascii="Helvetica" w:hAnsi="Helvetica"/>
          <w:color w:val="auto"/>
          <w:sz w:val="20"/>
        </w:rPr>
        <w:tab/>
        <w:t xml:space="preserve">COULIS ÉPOXYDIQUE </w:t>
      </w:r>
      <w:r w:rsidR="00633059">
        <w:rPr>
          <w:rFonts w:ascii="Helvetica" w:hAnsi="Helvetica"/>
          <w:color w:val="auto"/>
          <w:sz w:val="20"/>
        </w:rPr>
        <w:t>E</w:t>
      </w:r>
      <w:r w:rsidR="00633059" w:rsidRPr="00633059">
        <w:rPr>
          <w:rFonts w:ascii="Helvetica" w:hAnsi="Helvetica"/>
          <w:color w:val="auto"/>
          <w:sz w:val="20"/>
          <w:vertAlign w:val="superscript"/>
        </w:rPr>
        <w:t>3</w:t>
      </w:r>
      <w:r w:rsidR="00633059">
        <w:rPr>
          <w:rFonts w:ascii="Helvetica" w:hAnsi="Helvetica"/>
          <w:color w:val="auto"/>
          <w:sz w:val="20"/>
        </w:rPr>
        <w:t>-</w:t>
      </w:r>
      <w:r>
        <w:rPr>
          <w:rFonts w:ascii="Helvetica" w:hAnsi="Helvetica"/>
          <w:color w:val="auto"/>
          <w:sz w:val="20"/>
        </w:rPr>
        <w:t>DEEP POUR</w:t>
      </w:r>
    </w:p>
    <w:p w14:paraId="59213365" w14:textId="77777777" w:rsidR="00D37B1D" w:rsidRDefault="00D37B1D" w:rsidP="00D37B1D">
      <w:pPr>
        <w:pStyle w:val="CMT"/>
        <w:contextualSpacing/>
        <w:jc w:val="left"/>
        <w:rPr>
          <w:rFonts w:ascii="Helvetica" w:hAnsi="Helvetica"/>
          <w:color w:val="auto"/>
          <w:sz w:val="20"/>
          <w:lang w:val="en-US"/>
        </w:rPr>
      </w:pPr>
    </w:p>
    <w:p w14:paraId="69BD9510" w14:textId="3BE73B63" w:rsidR="00D37B1D" w:rsidRPr="00D2312B" w:rsidRDefault="00D37B1D" w:rsidP="00D37B1D">
      <w:pPr>
        <w:pStyle w:val="CMT"/>
        <w:ind w:left="1440" w:hanging="720"/>
        <w:contextualSpacing/>
        <w:jc w:val="left"/>
        <w:rPr>
          <w:rFonts w:ascii="Helvetica" w:hAnsi="Helvetica"/>
          <w:color w:val="auto"/>
          <w:sz w:val="20"/>
        </w:rPr>
      </w:pPr>
      <w:r>
        <w:rPr>
          <w:rFonts w:ascii="Helvetica" w:hAnsi="Helvetica"/>
          <w:color w:val="auto"/>
          <w:sz w:val="20"/>
        </w:rPr>
        <w:t>A.</w:t>
      </w:r>
      <w:r>
        <w:rPr>
          <w:rFonts w:ascii="Helvetica" w:hAnsi="Helvetica"/>
          <w:color w:val="auto"/>
          <w:sz w:val="20"/>
        </w:rPr>
        <w:tab/>
        <w:t xml:space="preserve">Coulis époxydique </w:t>
      </w:r>
      <w:r w:rsidR="00633059">
        <w:rPr>
          <w:rFonts w:ascii="Helvetica" w:hAnsi="Helvetica"/>
          <w:color w:val="auto"/>
          <w:sz w:val="20"/>
        </w:rPr>
        <w:t>E</w:t>
      </w:r>
      <w:r w:rsidR="00633059" w:rsidRPr="00633059">
        <w:rPr>
          <w:rFonts w:ascii="Helvetica" w:hAnsi="Helvetica"/>
          <w:color w:val="auto"/>
          <w:sz w:val="20"/>
          <w:vertAlign w:val="superscript"/>
        </w:rPr>
        <w:t>3</w:t>
      </w:r>
      <w:r w:rsidR="00633059">
        <w:rPr>
          <w:rFonts w:ascii="Helvetica" w:hAnsi="Helvetica"/>
          <w:color w:val="auto"/>
          <w:sz w:val="20"/>
        </w:rPr>
        <w:t>-</w:t>
      </w:r>
      <w:r w:rsidRPr="00633059">
        <w:rPr>
          <w:rFonts w:ascii="Helvetica" w:hAnsi="Helvetica"/>
          <w:color w:val="auto"/>
          <w:sz w:val="20"/>
        </w:rPr>
        <w:t>DEEP POUR :</w:t>
      </w:r>
      <w:r w:rsidR="00E66B02" w:rsidRPr="00633059">
        <w:rPr>
          <w:rFonts w:ascii="Helvetica" w:hAnsi="Helvetica"/>
          <w:color w:val="auto"/>
          <w:sz w:val="20"/>
        </w:rPr>
        <w:t xml:space="preserve"> </w:t>
      </w:r>
      <w:r w:rsidRPr="00633059">
        <w:rPr>
          <w:rFonts w:ascii="Helvetica" w:hAnsi="Helvetica"/>
          <w:color w:val="auto"/>
          <w:sz w:val="20"/>
        </w:rPr>
        <w:t>Coulis époxydique pour mises en place profondes intégrant une technologie anti-poussière pour une</w:t>
      </w:r>
      <w:r>
        <w:rPr>
          <w:rFonts w:ascii="Helvetica" w:hAnsi="Helvetica"/>
          <w:color w:val="auto"/>
          <w:sz w:val="20"/>
        </w:rPr>
        <w:t xml:space="preserve"> réduction du dégagement de </w:t>
      </w:r>
      <w:r>
        <w:rPr>
          <w:rFonts w:ascii="Helvetica" w:hAnsi="Helvetica"/>
          <w:color w:val="auto"/>
          <w:sz w:val="20"/>
        </w:rPr>
        <w:lastRenderedPageBreak/>
        <w:t>poussière pendant le malaxage et satisfaisant aux exigences de la norme 610, annexe L relative au jointoiement des plaques de base et des plaques d'appui, de l'American Petroleum Institute.</w:t>
      </w:r>
    </w:p>
    <w:p w14:paraId="290C6BD1" w14:textId="232E8B93" w:rsidR="00D37B1D" w:rsidRPr="00995768" w:rsidRDefault="00D37B1D" w:rsidP="00D37B1D">
      <w:pPr>
        <w:pStyle w:val="CMT"/>
        <w:ind w:left="720" w:firstLine="720"/>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Produits pour la base de conception :</w:t>
      </w:r>
      <w:r w:rsidR="00E66B02">
        <w:rPr>
          <w:rFonts w:ascii="Helvetica" w:hAnsi="Helvetica"/>
          <w:color w:val="auto"/>
          <w:sz w:val="20"/>
        </w:rPr>
        <w:t xml:space="preserve"> </w:t>
      </w:r>
    </w:p>
    <w:p w14:paraId="5C910512" w14:textId="77777777" w:rsidR="00D37B1D" w:rsidRPr="00E124C3"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a. E</w:t>
      </w:r>
      <w:r>
        <w:rPr>
          <w:rFonts w:ascii="Helvetica" w:hAnsi="Helvetica"/>
          <w:color w:val="auto"/>
          <w:sz w:val="20"/>
          <w:vertAlign w:val="superscript"/>
        </w:rPr>
        <w:t>3</w:t>
      </w:r>
      <w:r>
        <w:rPr>
          <w:rFonts w:ascii="Helvetica" w:hAnsi="Helvetica"/>
          <w:color w:val="auto"/>
          <w:sz w:val="20"/>
        </w:rPr>
        <w:t>-DEEP POUR d'Euclid Canada</w:t>
      </w:r>
    </w:p>
    <w:p w14:paraId="427C5CB4" w14:textId="77777777" w:rsidR="00D37B1D" w:rsidRPr="00995768"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b. Résistance à la compression, ASTM C 579, cubes de 50 mm (2 po) à 21 °C :</w:t>
      </w:r>
    </w:p>
    <w:p w14:paraId="37FD4513" w14:textId="77777777" w:rsidR="00D37B1D" w:rsidRPr="00995768" w:rsidRDefault="00D37B1D" w:rsidP="00D37B1D">
      <w:pPr>
        <w:pStyle w:val="CMT"/>
        <w:ind w:left="2520"/>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Unité standard</w:t>
      </w:r>
    </w:p>
    <w:p w14:paraId="0A4FC206" w14:textId="77777777" w:rsidR="00D37B1D" w:rsidRPr="00995768"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a)</w:t>
      </w:r>
      <w:r>
        <w:rPr>
          <w:rFonts w:ascii="Helvetica" w:hAnsi="Helvetica"/>
          <w:color w:val="auto"/>
          <w:sz w:val="20"/>
        </w:rPr>
        <w:tab/>
        <w:t>1 jour : 76 MPa</w:t>
      </w:r>
    </w:p>
    <w:p w14:paraId="30D304AC" w14:textId="77777777" w:rsidR="00D37B1D" w:rsidRPr="00995768"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b)</w:t>
      </w:r>
      <w:r>
        <w:rPr>
          <w:rFonts w:ascii="Helvetica" w:hAnsi="Helvetica"/>
          <w:color w:val="auto"/>
          <w:sz w:val="20"/>
        </w:rPr>
        <w:tab/>
        <w:t>7 jours : 97 MPa</w:t>
      </w:r>
    </w:p>
    <w:p w14:paraId="2A66FF92" w14:textId="77777777" w:rsidR="00D37B1D" w:rsidRPr="00995768"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c)</w:t>
      </w:r>
      <w:r>
        <w:rPr>
          <w:rFonts w:ascii="Helvetica" w:hAnsi="Helvetica"/>
          <w:color w:val="auto"/>
          <w:sz w:val="20"/>
        </w:rPr>
        <w:tab/>
        <w:t>28 jours : 103 MPa</w:t>
      </w:r>
    </w:p>
    <w:p w14:paraId="4C6749A6" w14:textId="5033372B" w:rsidR="00D37B1D" w:rsidRPr="00995768" w:rsidRDefault="00D37B1D" w:rsidP="00D37B1D">
      <w:pPr>
        <w:pStyle w:val="CMT"/>
        <w:ind w:left="1800" w:firstLine="720"/>
        <w:contextualSpacing/>
        <w:jc w:val="left"/>
        <w:rPr>
          <w:rFonts w:ascii="Helvetica" w:hAnsi="Helvetica"/>
          <w:color w:val="auto"/>
          <w:sz w:val="20"/>
        </w:rPr>
      </w:pPr>
      <w:r>
        <w:rPr>
          <w:rFonts w:ascii="Helvetica" w:hAnsi="Helvetica"/>
          <w:color w:val="auto"/>
          <w:sz w:val="20"/>
        </w:rPr>
        <w:t>2)</w:t>
      </w:r>
      <w:r w:rsidR="00E66B02">
        <w:rPr>
          <w:rFonts w:ascii="Helvetica" w:hAnsi="Helvetica"/>
          <w:color w:val="auto"/>
          <w:sz w:val="20"/>
        </w:rPr>
        <w:t xml:space="preserve"> </w:t>
      </w:r>
      <w:r>
        <w:rPr>
          <w:rFonts w:ascii="Helvetica" w:hAnsi="Helvetica"/>
          <w:color w:val="auto"/>
          <w:sz w:val="20"/>
        </w:rPr>
        <w:t xml:space="preserve"> Mélange à fluidité élevée</w:t>
      </w:r>
    </w:p>
    <w:p w14:paraId="31813554" w14:textId="77777777" w:rsidR="00D37B1D" w:rsidRPr="00995768"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a)</w:t>
      </w:r>
      <w:r>
        <w:rPr>
          <w:rFonts w:ascii="Helvetica" w:hAnsi="Helvetica"/>
          <w:color w:val="auto"/>
          <w:sz w:val="20"/>
        </w:rPr>
        <w:tab/>
        <w:t>1 jour : 77 MPa</w:t>
      </w:r>
    </w:p>
    <w:p w14:paraId="44E7B10E" w14:textId="77777777" w:rsidR="00D37B1D" w:rsidRPr="00995768" w:rsidRDefault="00D37B1D" w:rsidP="00D37B1D">
      <w:pPr>
        <w:pStyle w:val="CMT"/>
        <w:ind w:left="2448" w:firstLine="432"/>
        <w:contextualSpacing/>
        <w:jc w:val="left"/>
        <w:rPr>
          <w:rFonts w:ascii="Helvetica" w:hAnsi="Helvetica"/>
          <w:color w:val="auto"/>
          <w:sz w:val="20"/>
        </w:rPr>
      </w:pPr>
      <w:r>
        <w:rPr>
          <w:rFonts w:ascii="Helvetica" w:hAnsi="Helvetica"/>
          <w:color w:val="auto"/>
          <w:sz w:val="20"/>
        </w:rPr>
        <w:t>b)</w:t>
      </w:r>
      <w:r>
        <w:rPr>
          <w:rFonts w:ascii="Helvetica" w:hAnsi="Helvetica"/>
          <w:color w:val="auto"/>
          <w:sz w:val="20"/>
        </w:rPr>
        <w:tab/>
        <w:t>7 jours : 100 MPa</w:t>
      </w:r>
    </w:p>
    <w:p w14:paraId="07804240" w14:textId="77777777" w:rsidR="00D37B1D" w:rsidRPr="000B68EA" w:rsidRDefault="00D37B1D" w:rsidP="00D37B1D">
      <w:pPr>
        <w:pStyle w:val="CMT"/>
        <w:ind w:left="2448" w:firstLine="432"/>
        <w:contextualSpacing/>
        <w:jc w:val="left"/>
        <w:rPr>
          <w:rFonts w:ascii="Helvetica" w:hAnsi="Helvetica"/>
          <w:color w:val="auto"/>
          <w:sz w:val="20"/>
        </w:rPr>
      </w:pPr>
      <w:r>
        <w:rPr>
          <w:rFonts w:ascii="Helvetica" w:hAnsi="Helvetica"/>
          <w:color w:val="auto"/>
          <w:sz w:val="20"/>
        </w:rPr>
        <w:t>c)</w:t>
      </w:r>
      <w:r>
        <w:rPr>
          <w:rFonts w:ascii="Helvetica" w:hAnsi="Helvetica"/>
          <w:color w:val="auto"/>
          <w:sz w:val="20"/>
        </w:rPr>
        <w:tab/>
        <w:t>28 jours : 104 MPa</w:t>
      </w:r>
    </w:p>
    <w:p w14:paraId="5E7A54C2" w14:textId="77777777" w:rsidR="00D37B1D" w:rsidRPr="00995768"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c.</w:t>
      </w:r>
      <w:r>
        <w:rPr>
          <w:rFonts w:ascii="Helvetica" w:hAnsi="Helvetica"/>
          <w:color w:val="auto"/>
          <w:sz w:val="20"/>
        </w:rPr>
        <w:tab/>
        <w:t>Fluage, ASTM C 1181, 2,8 MPa à 60 </w:t>
      </w:r>
      <w:r>
        <w:rPr>
          <w:rFonts w:ascii="Helvetica" w:hAnsi="Helvetica"/>
          <w:color w:val="auto"/>
          <w:sz w:val="20"/>
          <w:vertAlign w:val="superscript"/>
        </w:rPr>
        <w:t>o</w:t>
      </w:r>
      <w:r>
        <w:rPr>
          <w:rFonts w:ascii="Helvetica" w:hAnsi="Helvetica"/>
          <w:color w:val="auto"/>
          <w:sz w:val="20"/>
        </w:rPr>
        <w:t xml:space="preserve">C : </w:t>
      </w:r>
    </w:p>
    <w:p w14:paraId="16128992" w14:textId="77777777" w:rsidR="00D37B1D" w:rsidRPr="00995768" w:rsidRDefault="00D37B1D" w:rsidP="00D37B1D">
      <w:pPr>
        <w:pStyle w:val="CMT"/>
        <w:ind w:left="2520"/>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Unité standard</w:t>
      </w:r>
    </w:p>
    <w:p w14:paraId="60345983" w14:textId="77777777" w:rsidR="00D37B1D" w:rsidRPr="00995768"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a)</w:t>
      </w:r>
      <w:r>
        <w:rPr>
          <w:rFonts w:ascii="Helvetica" w:hAnsi="Helvetica"/>
          <w:color w:val="auto"/>
          <w:sz w:val="20"/>
        </w:rPr>
        <w:tab/>
        <w:t>28 jours : 3,2 x 10</w:t>
      </w:r>
      <w:r>
        <w:rPr>
          <w:rFonts w:ascii="Helvetica" w:hAnsi="Helvetica"/>
          <w:color w:val="auto"/>
          <w:sz w:val="20"/>
          <w:vertAlign w:val="superscript"/>
        </w:rPr>
        <w:t>-3</w:t>
      </w:r>
      <w:r>
        <w:rPr>
          <w:rFonts w:ascii="Helvetica" w:hAnsi="Helvetica"/>
          <w:color w:val="auto"/>
          <w:sz w:val="20"/>
        </w:rPr>
        <w:t xml:space="preserve"> mm/mm (po/po)</w:t>
      </w:r>
    </w:p>
    <w:p w14:paraId="535AEEA0" w14:textId="1EEBB05A" w:rsidR="00D37B1D" w:rsidRPr="00995768" w:rsidRDefault="00D37B1D" w:rsidP="00D37B1D">
      <w:pPr>
        <w:pStyle w:val="CMT"/>
        <w:ind w:left="1800" w:firstLine="720"/>
        <w:contextualSpacing/>
        <w:jc w:val="left"/>
        <w:rPr>
          <w:rFonts w:ascii="Helvetica" w:hAnsi="Helvetica"/>
          <w:color w:val="auto"/>
          <w:sz w:val="20"/>
        </w:rPr>
      </w:pPr>
      <w:r>
        <w:rPr>
          <w:rFonts w:ascii="Helvetica" w:hAnsi="Helvetica"/>
          <w:color w:val="auto"/>
          <w:sz w:val="20"/>
        </w:rPr>
        <w:t>2)</w:t>
      </w:r>
      <w:r w:rsidR="00E66B02">
        <w:rPr>
          <w:rFonts w:ascii="Helvetica" w:hAnsi="Helvetica"/>
          <w:color w:val="auto"/>
          <w:sz w:val="20"/>
        </w:rPr>
        <w:t xml:space="preserve"> </w:t>
      </w:r>
      <w:r>
        <w:rPr>
          <w:rFonts w:ascii="Helvetica" w:hAnsi="Helvetica"/>
          <w:color w:val="auto"/>
          <w:sz w:val="20"/>
        </w:rPr>
        <w:t xml:space="preserve"> Mélange à fluidité élevée</w:t>
      </w:r>
    </w:p>
    <w:p w14:paraId="62814983" w14:textId="54171918" w:rsidR="00D37B1D" w:rsidRDefault="00633059" w:rsidP="00D37B1D">
      <w:pPr>
        <w:pStyle w:val="CMT"/>
        <w:ind w:left="2160" w:firstLine="720"/>
        <w:contextualSpacing/>
        <w:jc w:val="left"/>
        <w:rPr>
          <w:rFonts w:ascii="Helvetica" w:hAnsi="Helvetica"/>
          <w:color w:val="auto"/>
          <w:sz w:val="20"/>
        </w:rPr>
      </w:pPr>
      <w:r>
        <w:rPr>
          <w:rFonts w:ascii="Helvetica" w:hAnsi="Helvetica"/>
          <w:color w:val="auto"/>
          <w:sz w:val="20"/>
        </w:rPr>
        <w:t>a</w:t>
      </w:r>
      <w:r w:rsidR="00D37B1D">
        <w:rPr>
          <w:rFonts w:ascii="Helvetica" w:hAnsi="Helvetica"/>
          <w:color w:val="auto"/>
          <w:sz w:val="20"/>
        </w:rPr>
        <w:t>)</w:t>
      </w:r>
      <w:r w:rsidR="00D37B1D">
        <w:rPr>
          <w:rFonts w:ascii="Helvetica" w:hAnsi="Helvetica"/>
          <w:color w:val="auto"/>
          <w:sz w:val="20"/>
        </w:rPr>
        <w:tab/>
        <w:t>28 jours : 4,0 x 10</w:t>
      </w:r>
      <w:r w:rsidR="00D37B1D">
        <w:rPr>
          <w:rFonts w:ascii="Helvetica" w:hAnsi="Helvetica"/>
          <w:color w:val="auto"/>
          <w:sz w:val="20"/>
          <w:vertAlign w:val="superscript"/>
        </w:rPr>
        <w:t>-3</w:t>
      </w:r>
      <w:r w:rsidR="00D37B1D">
        <w:rPr>
          <w:rFonts w:ascii="Helvetica" w:hAnsi="Helvetica"/>
          <w:color w:val="auto"/>
          <w:sz w:val="20"/>
        </w:rPr>
        <w:t xml:space="preserve"> mm/mm (po/po)</w:t>
      </w:r>
    </w:p>
    <w:p w14:paraId="14EE1B2E" w14:textId="77777777" w:rsidR="00D37B1D" w:rsidRPr="00995768"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d.</w:t>
      </w:r>
      <w:r>
        <w:rPr>
          <w:rFonts w:ascii="Helvetica" w:hAnsi="Helvetica"/>
          <w:color w:val="auto"/>
          <w:sz w:val="20"/>
        </w:rPr>
        <w:tab/>
        <w:t>Coefficient d’expansion thermique, ASTM C 531 :</w:t>
      </w:r>
    </w:p>
    <w:p w14:paraId="0D957F78" w14:textId="77777777" w:rsidR="00D37B1D" w:rsidRPr="00995768" w:rsidRDefault="00D37B1D" w:rsidP="00D37B1D">
      <w:pPr>
        <w:pStyle w:val="CMT"/>
        <w:ind w:left="1800" w:firstLine="720"/>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Formulation standard</w:t>
      </w:r>
    </w:p>
    <w:p w14:paraId="3B47C435" w14:textId="77777777" w:rsidR="00D37B1D" w:rsidRPr="00995768"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a) 2,8 x 10</w:t>
      </w:r>
      <w:r>
        <w:rPr>
          <w:rFonts w:ascii="Helvetica" w:hAnsi="Helvetica"/>
          <w:color w:val="auto"/>
          <w:sz w:val="20"/>
          <w:vertAlign w:val="superscript"/>
        </w:rPr>
        <w:t>-6</w:t>
      </w:r>
      <w:r>
        <w:rPr>
          <w:rFonts w:ascii="Helvetica" w:hAnsi="Helvetica"/>
          <w:color w:val="auto"/>
          <w:sz w:val="20"/>
        </w:rPr>
        <w:t xml:space="preserve"> mm/mm (po/po) (23 à 99 </w:t>
      </w:r>
      <w:r>
        <w:rPr>
          <w:rFonts w:ascii="Helvetica" w:hAnsi="Helvetica"/>
          <w:color w:val="auto"/>
          <w:sz w:val="20"/>
          <w:vertAlign w:val="superscript"/>
        </w:rPr>
        <w:t>o</w:t>
      </w:r>
      <w:r>
        <w:rPr>
          <w:rFonts w:ascii="Helvetica" w:hAnsi="Helvetica"/>
          <w:color w:val="auto"/>
          <w:sz w:val="20"/>
        </w:rPr>
        <w:t>C)</w:t>
      </w:r>
    </w:p>
    <w:p w14:paraId="4B3F0623" w14:textId="71886910" w:rsidR="00D37B1D" w:rsidRPr="00995768" w:rsidRDefault="00D37B1D" w:rsidP="00D37B1D">
      <w:pPr>
        <w:pStyle w:val="CMT"/>
        <w:ind w:left="1800" w:firstLine="720"/>
        <w:contextualSpacing/>
        <w:jc w:val="left"/>
        <w:rPr>
          <w:rFonts w:ascii="Helvetica" w:hAnsi="Helvetica"/>
          <w:color w:val="auto"/>
          <w:sz w:val="20"/>
        </w:rPr>
      </w:pPr>
      <w:r>
        <w:rPr>
          <w:rFonts w:ascii="Helvetica" w:hAnsi="Helvetica"/>
          <w:color w:val="auto"/>
          <w:sz w:val="20"/>
        </w:rPr>
        <w:t>2)</w:t>
      </w:r>
      <w:r w:rsidR="00E66B02">
        <w:rPr>
          <w:rFonts w:ascii="Helvetica" w:hAnsi="Helvetica"/>
          <w:color w:val="auto"/>
          <w:sz w:val="20"/>
        </w:rPr>
        <w:t xml:space="preserve"> </w:t>
      </w:r>
      <w:r>
        <w:rPr>
          <w:rFonts w:ascii="Helvetica" w:hAnsi="Helvetica"/>
          <w:color w:val="auto"/>
          <w:sz w:val="20"/>
        </w:rPr>
        <w:t xml:space="preserve"> Mélange à fluidité élevée </w:t>
      </w:r>
    </w:p>
    <w:p w14:paraId="4BDB413C" w14:textId="77777777" w:rsidR="00D37B1D"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a) 2,8 x 10</w:t>
      </w:r>
      <w:r>
        <w:rPr>
          <w:rFonts w:ascii="Helvetica" w:hAnsi="Helvetica"/>
          <w:color w:val="auto"/>
          <w:sz w:val="20"/>
          <w:vertAlign w:val="superscript"/>
        </w:rPr>
        <w:t>-6</w:t>
      </w:r>
      <w:r>
        <w:rPr>
          <w:rFonts w:ascii="Helvetica" w:hAnsi="Helvetica"/>
          <w:color w:val="auto"/>
          <w:sz w:val="20"/>
        </w:rPr>
        <w:t xml:space="preserve"> mm/mm (po/po) (23 à 99 </w:t>
      </w:r>
      <w:r>
        <w:rPr>
          <w:rFonts w:ascii="Helvetica" w:hAnsi="Helvetica"/>
          <w:color w:val="auto"/>
          <w:sz w:val="20"/>
          <w:vertAlign w:val="superscript"/>
        </w:rPr>
        <w:t>o</w:t>
      </w:r>
      <w:r>
        <w:rPr>
          <w:rFonts w:ascii="Helvetica" w:hAnsi="Helvetica"/>
          <w:color w:val="auto"/>
          <w:sz w:val="20"/>
        </w:rPr>
        <w:t>C)</w:t>
      </w:r>
    </w:p>
    <w:p w14:paraId="35627071" w14:textId="77777777" w:rsidR="00D37B1D" w:rsidRPr="005305C7"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e.</w:t>
      </w:r>
      <w:r>
        <w:rPr>
          <w:rFonts w:ascii="Helvetica" w:hAnsi="Helvetica"/>
          <w:color w:val="auto"/>
          <w:sz w:val="20"/>
        </w:rPr>
        <w:tab/>
        <w:t>Résistance à la flexion, ASTM C 580 :</w:t>
      </w:r>
    </w:p>
    <w:p w14:paraId="1C806A22" w14:textId="77777777" w:rsidR="00D37B1D" w:rsidRPr="005305C7" w:rsidRDefault="00D37B1D" w:rsidP="00D37B1D">
      <w:pPr>
        <w:pStyle w:val="CMT"/>
        <w:ind w:left="2520"/>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Unité standard</w:t>
      </w:r>
    </w:p>
    <w:p w14:paraId="05744DFB" w14:textId="77777777" w:rsidR="00D37B1D" w:rsidRPr="005305C7"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a)</w:t>
      </w:r>
      <w:r>
        <w:rPr>
          <w:rFonts w:ascii="Helvetica" w:hAnsi="Helvetica"/>
          <w:color w:val="auto"/>
          <w:sz w:val="20"/>
        </w:rPr>
        <w:tab/>
        <w:t>1 jour : 28 MPa</w:t>
      </w:r>
    </w:p>
    <w:p w14:paraId="59E04F6D" w14:textId="77777777" w:rsidR="00D37B1D" w:rsidRPr="005305C7"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b)</w:t>
      </w:r>
      <w:r>
        <w:rPr>
          <w:rFonts w:ascii="Helvetica" w:hAnsi="Helvetica"/>
          <w:color w:val="auto"/>
          <w:sz w:val="20"/>
        </w:rPr>
        <w:tab/>
        <w:t>7 jours : 30 MPa</w:t>
      </w:r>
    </w:p>
    <w:p w14:paraId="0D54001D" w14:textId="77777777" w:rsidR="00D37B1D" w:rsidRPr="005305C7"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c)</w:t>
      </w:r>
      <w:r>
        <w:rPr>
          <w:rFonts w:ascii="Helvetica" w:hAnsi="Helvetica"/>
          <w:color w:val="auto"/>
          <w:sz w:val="20"/>
        </w:rPr>
        <w:tab/>
        <w:t>28 jours : 31 MPa</w:t>
      </w:r>
    </w:p>
    <w:p w14:paraId="6A950125" w14:textId="68F02FA1" w:rsidR="00D37B1D" w:rsidRPr="005305C7" w:rsidRDefault="00D37B1D" w:rsidP="00D37B1D">
      <w:pPr>
        <w:pStyle w:val="CMT"/>
        <w:ind w:left="1800" w:firstLine="720"/>
        <w:contextualSpacing/>
        <w:jc w:val="left"/>
        <w:rPr>
          <w:rFonts w:ascii="Helvetica" w:hAnsi="Helvetica"/>
          <w:color w:val="auto"/>
          <w:sz w:val="20"/>
        </w:rPr>
      </w:pPr>
      <w:r>
        <w:rPr>
          <w:rFonts w:ascii="Helvetica" w:hAnsi="Helvetica"/>
          <w:color w:val="auto"/>
          <w:sz w:val="20"/>
        </w:rPr>
        <w:t>2)</w:t>
      </w:r>
      <w:r w:rsidR="00E66B02">
        <w:rPr>
          <w:rFonts w:ascii="Helvetica" w:hAnsi="Helvetica"/>
          <w:color w:val="auto"/>
          <w:sz w:val="20"/>
        </w:rPr>
        <w:t xml:space="preserve"> </w:t>
      </w:r>
      <w:r>
        <w:rPr>
          <w:rFonts w:ascii="Helvetica" w:hAnsi="Helvetica"/>
          <w:color w:val="auto"/>
          <w:sz w:val="20"/>
        </w:rPr>
        <w:t xml:space="preserve"> Mélange à fluidité élevée </w:t>
      </w:r>
    </w:p>
    <w:p w14:paraId="7159D383" w14:textId="77777777" w:rsidR="00D37B1D" w:rsidRPr="005305C7"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a)</w:t>
      </w:r>
      <w:r>
        <w:rPr>
          <w:rFonts w:ascii="Helvetica" w:hAnsi="Helvetica"/>
          <w:color w:val="auto"/>
          <w:sz w:val="20"/>
        </w:rPr>
        <w:tab/>
        <w:t>1 jour : 29 MPa</w:t>
      </w:r>
    </w:p>
    <w:p w14:paraId="1E143816" w14:textId="77777777" w:rsidR="00D37B1D" w:rsidRPr="005305C7"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b)</w:t>
      </w:r>
      <w:r>
        <w:rPr>
          <w:rFonts w:ascii="Helvetica" w:hAnsi="Helvetica"/>
          <w:color w:val="auto"/>
          <w:sz w:val="20"/>
        </w:rPr>
        <w:tab/>
        <w:t>7 jours : 31 MPa</w:t>
      </w:r>
    </w:p>
    <w:p w14:paraId="08B86243" w14:textId="77777777" w:rsidR="00D37B1D"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c)</w:t>
      </w:r>
      <w:r>
        <w:rPr>
          <w:rFonts w:ascii="Helvetica" w:hAnsi="Helvetica"/>
          <w:color w:val="auto"/>
          <w:sz w:val="20"/>
        </w:rPr>
        <w:tab/>
        <w:t>28 jours : 32 MPa</w:t>
      </w:r>
    </w:p>
    <w:p w14:paraId="249E55A5" w14:textId="77777777" w:rsidR="00D37B1D" w:rsidRPr="005305C7"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f.</w:t>
      </w:r>
      <w:r>
        <w:rPr>
          <w:rFonts w:ascii="Helvetica" w:hAnsi="Helvetica"/>
          <w:color w:val="auto"/>
          <w:sz w:val="20"/>
        </w:rPr>
        <w:tab/>
        <w:t>Résistance à la traction, ASTM C 307 :</w:t>
      </w:r>
    </w:p>
    <w:p w14:paraId="69486259" w14:textId="77777777" w:rsidR="00D37B1D" w:rsidRPr="005305C7" w:rsidRDefault="00D37B1D" w:rsidP="00D37B1D">
      <w:pPr>
        <w:pStyle w:val="CMT"/>
        <w:ind w:left="2520"/>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Unité standard</w:t>
      </w:r>
    </w:p>
    <w:p w14:paraId="18F1CE25" w14:textId="77777777" w:rsidR="00D37B1D" w:rsidRPr="005305C7"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a)</w:t>
      </w:r>
      <w:r>
        <w:rPr>
          <w:rFonts w:ascii="Helvetica" w:hAnsi="Helvetica"/>
          <w:color w:val="auto"/>
          <w:sz w:val="20"/>
        </w:rPr>
        <w:tab/>
        <w:t>1 jour : 12 MPa</w:t>
      </w:r>
    </w:p>
    <w:p w14:paraId="0F7E24CE" w14:textId="77777777" w:rsidR="00D37B1D" w:rsidRPr="005305C7"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b)</w:t>
      </w:r>
      <w:r>
        <w:rPr>
          <w:rFonts w:ascii="Helvetica" w:hAnsi="Helvetica"/>
          <w:color w:val="auto"/>
          <w:sz w:val="20"/>
        </w:rPr>
        <w:tab/>
        <w:t>7 jours : 14 MPa</w:t>
      </w:r>
    </w:p>
    <w:p w14:paraId="7556B19F" w14:textId="77777777" w:rsidR="00D37B1D" w:rsidRPr="005305C7"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c)</w:t>
      </w:r>
      <w:r>
        <w:rPr>
          <w:rFonts w:ascii="Helvetica" w:hAnsi="Helvetica"/>
          <w:color w:val="auto"/>
          <w:sz w:val="20"/>
        </w:rPr>
        <w:tab/>
        <w:t>28 jours : 14 MPa</w:t>
      </w:r>
    </w:p>
    <w:p w14:paraId="19E92935" w14:textId="40D7540E" w:rsidR="00D37B1D" w:rsidRPr="005305C7" w:rsidRDefault="00D37B1D" w:rsidP="00D37B1D">
      <w:pPr>
        <w:pStyle w:val="CMT"/>
        <w:ind w:left="1800" w:firstLine="720"/>
        <w:contextualSpacing/>
        <w:jc w:val="left"/>
        <w:rPr>
          <w:rFonts w:ascii="Helvetica" w:hAnsi="Helvetica"/>
          <w:color w:val="auto"/>
          <w:sz w:val="20"/>
        </w:rPr>
      </w:pPr>
      <w:r>
        <w:rPr>
          <w:rFonts w:ascii="Helvetica" w:hAnsi="Helvetica"/>
          <w:color w:val="auto"/>
          <w:sz w:val="20"/>
        </w:rPr>
        <w:t>2)</w:t>
      </w:r>
      <w:r w:rsidR="00E66B02">
        <w:rPr>
          <w:rFonts w:ascii="Helvetica" w:hAnsi="Helvetica"/>
          <w:color w:val="auto"/>
          <w:sz w:val="20"/>
        </w:rPr>
        <w:t xml:space="preserve"> </w:t>
      </w:r>
      <w:r>
        <w:rPr>
          <w:rFonts w:ascii="Helvetica" w:hAnsi="Helvetica"/>
          <w:color w:val="auto"/>
          <w:sz w:val="20"/>
        </w:rPr>
        <w:t xml:space="preserve"> Mélange à fluidité élevée </w:t>
      </w:r>
    </w:p>
    <w:p w14:paraId="20DEA741" w14:textId="77777777" w:rsidR="00D37B1D" w:rsidRPr="005305C7"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a)</w:t>
      </w:r>
      <w:r>
        <w:rPr>
          <w:rFonts w:ascii="Helvetica" w:hAnsi="Helvetica"/>
          <w:color w:val="auto"/>
          <w:sz w:val="20"/>
        </w:rPr>
        <w:tab/>
        <w:t>1 jour : 12 MPa</w:t>
      </w:r>
    </w:p>
    <w:p w14:paraId="18C329A7" w14:textId="77777777" w:rsidR="00D37B1D" w:rsidRPr="005305C7"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b)</w:t>
      </w:r>
      <w:r>
        <w:rPr>
          <w:rFonts w:ascii="Helvetica" w:hAnsi="Helvetica"/>
          <w:color w:val="auto"/>
          <w:sz w:val="20"/>
        </w:rPr>
        <w:tab/>
        <w:t>7 jours : 14 MPa</w:t>
      </w:r>
    </w:p>
    <w:p w14:paraId="1221B89F" w14:textId="77777777" w:rsidR="00D37B1D"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c)</w:t>
      </w:r>
      <w:r>
        <w:rPr>
          <w:rFonts w:ascii="Helvetica" w:hAnsi="Helvetica"/>
          <w:color w:val="auto"/>
          <w:sz w:val="20"/>
        </w:rPr>
        <w:tab/>
        <w:t>28 jours : 14 MPa</w:t>
      </w:r>
    </w:p>
    <w:p w14:paraId="32B47425" w14:textId="126FD2AA" w:rsidR="00D37B1D" w:rsidRPr="005305C7"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 xml:space="preserve">g. </w:t>
      </w:r>
      <w:r w:rsidR="000F0D1C">
        <w:rPr>
          <w:rFonts w:ascii="Helvetica" w:hAnsi="Helvetica"/>
          <w:color w:val="auto"/>
          <w:sz w:val="20"/>
        </w:rPr>
        <w:t xml:space="preserve">   </w:t>
      </w:r>
      <w:r>
        <w:rPr>
          <w:rFonts w:ascii="Helvetica" w:hAnsi="Helvetica"/>
          <w:color w:val="auto"/>
          <w:sz w:val="20"/>
        </w:rPr>
        <w:t>Adhérence au béton :</w:t>
      </w:r>
    </w:p>
    <w:p w14:paraId="4FD874C0" w14:textId="32BC7502" w:rsidR="00D37B1D" w:rsidRPr="000B68EA" w:rsidRDefault="00D37B1D" w:rsidP="00D37B1D">
      <w:pPr>
        <w:pStyle w:val="CMT"/>
        <w:ind w:left="2520"/>
        <w:contextualSpacing/>
        <w:jc w:val="left"/>
        <w:rPr>
          <w:rFonts w:ascii="Helvetica" w:hAnsi="Helvetica"/>
          <w:color w:val="auto"/>
          <w:sz w:val="20"/>
        </w:rPr>
      </w:pPr>
      <w:r>
        <w:rPr>
          <w:rFonts w:ascii="Helvetica" w:hAnsi="Helvetica"/>
          <w:color w:val="auto"/>
          <w:sz w:val="20"/>
        </w:rPr>
        <w:t>1)</w:t>
      </w:r>
      <w:r w:rsidR="00E66B02">
        <w:rPr>
          <w:rFonts w:ascii="Helvetica" w:hAnsi="Helvetica"/>
          <w:color w:val="auto"/>
          <w:sz w:val="20"/>
        </w:rPr>
        <w:t xml:space="preserve"> </w:t>
      </w:r>
      <w:r>
        <w:rPr>
          <w:rFonts w:ascii="Helvetica" w:hAnsi="Helvetica"/>
          <w:color w:val="auto"/>
          <w:sz w:val="20"/>
        </w:rPr>
        <w:t>Surpasse la résistance en traction et au cisaillement du béton de base.</w:t>
      </w:r>
    </w:p>
    <w:p w14:paraId="3E03C444" w14:textId="66F191E8" w:rsidR="00D37B1D" w:rsidRPr="005305C7"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 xml:space="preserve">h. </w:t>
      </w:r>
      <w:r w:rsidR="000F0D1C">
        <w:rPr>
          <w:rFonts w:ascii="Helvetica" w:hAnsi="Helvetica"/>
          <w:color w:val="auto"/>
          <w:sz w:val="20"/>
        </w:rPr>
        <w:t xml:space="preserve">   </w:t>
      </w:r>
      <w:r>
        <w:rPr>
          <w:rFonts w:ascii="Helvetica" w:hAnsi="Helvetica"/>
          <w:color w:val="auto"/>
          <w:sz w:val="20"/>
        </w:rPr>
        <w:t xml:space="preserve">Résistance chimique : </w:t>
      </w:r>
    </w:p>
    <w:p w14:paraId="318D285D" w14:textId="2393321F" w:rsidR="00D37B1D" w:rsidRPr="000B68EA" w:rsidRDefault="00D37B1D" w:rsidP="00D37B1D">
      <w:pPr>
        <w:pStyle w:val="CMT"/>
        <w:ind w:left="2520"/>
        <w:contextualSpacing/>
        <w:jc w:val="left"/>
        <w:rPr>
          <w:rFonts w:ascii="Helvetica" w:hAnsi="Helvetica"/>
          <w:color w:val="auto"/>
          <w:sz w:val="20"/>
        </w:rPr>
      </w:pPr>
      <w:r>
        <w:rPr>
          <w:rFonts w:ascii="Helvetica" w:hAnsi="Helvetica"/>
          <w:color w:val="auto"/>
          <w:sz w:val="20"/>
        </w:rPr>
        <w:t>1)</w:t>
      </w:r>
      <w:r w:rsidR="00E66B02">
        <w:rPr>
          <w:rFonts w:ascii="Helvetica" w:hAnsi="Helvetica"/>
          <w:color w:val="auto"/>
          <w:sz w:val="20"/>
        </w:rPr>
        <w:t xml:space="preserve"> </w:t>
      </w:r>
      <w:r>
        <w:rPr>
          <w:rFonts w:ascii="Helvetica" w:hAnsi="Helvetica"/>
          <w:color w:val="auto"/>
          <w:sz w:val="20"/>
        </w:rPr>
        <w:t xml:space="preserve">Excellente résistance à la plupart des produits chimiques industriels. </w:t>
      </w:r>
    </w:p>
    <w:p w14:paraId="0F525274" w14:textId="5C775C6D" w:rsidR="00D37B1D" w:rsidRPr="005305C7"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 xml:space="preserve">i. </w:t>
      </w:r>
      <w:r w:rsidR="000F0D1C">
        <w:rPr>
          <w:rFonts w:ascii="Helvetica" w:hAnsi="Helvetica"/>
          <w:color w:val="auto"/>
          <w:sz w:val="20"/>
        </w:rPr>
        <w:t xml:space="preserve">   </w:t>
      </w:r>
      <w:r>
        <w:rPr>
          <w:rFonts w:ascii="Helvetica" w:hAnsi="Helvetica"/>
          <w:color w:val="auto"/>
          <w:sz w:val="20"/>
        </w:rPr>
        <w:t>Épaisseur maximale par couche :</w:t>
      </w:r>
    </w:p>
    <w:p w14:paraId="6431D75F" w14:textId="77777777" w:rsidR="00D37B1D" w:rsidRPr="005305C7" w:rsidRDefault="00D37B1D" w:rsidP="00D37B1D">
      <w:pPr>
        <w:pStyle w:val="CMT"/>
        <w:ind w:left="2520"/>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Unité standard</w:t>
      </w:r>
    </w:p>
    <w:p w14:paraId="6720504B" w14:textId="6D4D0676" w:rsidR="00D37B1D" w:rsidRPr="005305C7"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Jusqu'à 45 cm (18 po)</w:t>
      </w:r>
    </w:p>
    <w:p w14:paraId="5DB545F4" w14:textId="24FB0BDA" w:rsidR="00D37B1D" w:rsidRPr="005305C7" w:rsidRDefault="00D37B1D" w:rsidP="00D37B1D">
      <w:pPr>
        <w:pStyle w:val="CMT"/>
        <w:ind w:left="1800" w:firstLine="720"/>
        <w:contextualSpacing/>
        <w:jc w:val="left"/>
        <w:rPr>
          <w:rFonts w:ascii="Helvetica" w:hAnsi="Helvetica"/>
          <w:color w:val="auto"/>
          <w:sz w:val="20"/>
        </w:rPr>
      </w:pPr>
      <w:r>
        <w:rPr>
          <w:rFonts w:ascii="Helvetica" w:hAnsi="Helvetica"/>
          <w:color w:val="auto"/>
          <w:sz w:val="20"/>
        </w:rPr>
        <w:t>2)</w:t>
      </w:r>
      <w:r w:rsidR="00E66B02">
        <w:rPr>
          <w:rFonts w:ascii="Helvetica" w:hAnsi="Helvetica"/>
          <w:color w:val="auto"/>
          <w:sz w:val="20"/>
        </w:rPr>
        <w:t xml:space="preserve"> </w:t>
      </w:r>
      <w:r>
        <w:rPr>
          <w:rFonts w:ascii="Helvetica" w:hAnsi="Helvetica"/>
          <w:color w:val="auto"/>
          <w:sz w:val="20"/>
        </w:rPr>
        <w:t xml:space="preserve"> Mélange à fluidité élevée</w:t>
      </w:r>
    </w:p>
    <w:p w14:paraId="0E499363" w14:textId="6A248863" w:rsidR="00D37B1D" w:rsidRPr="000B68EA"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Jusqu'à 23 cm (9 po)</w:t>
      </w:r>
    </w:p>
    <w:p w14:paraId="37A7E61A" w14:textId="77777777" w:rsidR="00D37B1D" w:rsidRPr="005305C7"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j.</w:t>
      </w:r>
      <w:r>
        <w:rPr>
          <w:rFonts w:ascii="Helvetica" w:hAnsi="Helvetica"/>
          <w:color w:val="auto"/>
          <w:sz w:val="20"/>
        </w:rPr>
        <w:tab/>
        <w:t>Section portante utile, ASTM C 1339 :</w:t>
      </w:r>
    </w:p>
    <w:p w14:paraId="3F334292" w14:textId="77777777" w:rsidR="00D37B1D" w:rsidRPr="005305C7" w:rsidRDefault="00D37B1D" w:rsidP="00D37B1D">
      <w:pPr>
        <w:pStyle w:val="CMT"/>
        <w:ind w:left="2520"/>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Unité standard</w:t>
      </w:r>
      <w:r>
        <w:rPr>
          <w:rFonts w:ascii="Helvetica" w:hAnsi="Helvetica"/>
          <w:color w:val="auto"/>
          <w:sz w:val="20"/>
        </w:rPr>
        <w:tab/>
      </w:r>
    </w:p>
    <w:p w14:paraId="2C8DADB0" w14:textId="5C8F2EDA" w:rsidR="00D37B1D" w:rsidRPr="005305C7"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&gt; 95 %</w:t>
      </w:r>
    </w:p>
    <w:p w14:paraId="524CF9D3" w14:textId="733491B8" w:rsidR="00D37B1D" w:rsidRPr="005305C7" w:rsidRDefault="00D37B1D" w:rsidP="00D37B1D">
      <w:pPr>
        <w:pStyle w:val="CMT"/>
        <w:ind w:left="1800" w:firstLine="720"/>
        <w:contextualSpacing/>
        <w:jc w:val="left"/>
        <w:rPr>
          <w:rFonts w:ascii="Helvetica" w:hAnsi="Helvetica"/>
          <w:color w:val="auto"/>
          <w:sz w:val="20"/>
        </w:rPr>
      </w:pPr>
      <w:r>
        <w:rPr>
          <w:rFonts w:ascii="Helvetica" w:hAnsi="Helvetica"/>
          <w:color w:val="auto"/>
          <w:sz w:val="20"/>
        </w:rPr>
        <w:t>2)</w:t>
      </w:r>
      <w:r w:rsidR="00E66B02">
        <w:rPr>
          <w:rFonts w:ascii="Helvetica" w:hAnsi="Helvetica"/>
          <w:color w:val="auto"/>
          <w:sz w:val="20"/>
        </w:rPr>
        <w:t xml:space="preserve"> </w:t>
      </w:r>
      <w:r>
        <w:rPr>
          <w:rFonts w:ascii="Helvetica" w:hAnsi="Helvetica"/>
          <w:color w:val="auto"/>
          <w:sz w:val="20"/>
        </w:rPr>
        <w:t xml:space="preserve"> Mélange à fluidité élevée</w:t>
      </w:r>
    </w:p>
    <w:p w14:paraId="6E18F907" w14:textId="57845848" w:rsidR="00D37B1D"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&gt; 95 %</w:t>
      </w:r>
    </w:p>
    <w:p w14:paraId="4F167887" w14:textId="68D4C120" w:rsidR="00D37B1D" w:rsidRPr="005305C7"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k.</w:t>
      </w:r>
      <w:r>
        <w:rPr>
          <w:rFonts w:ascii="Helvetica" w:hAnsi="Helvetica"/>
          <w:color w:val="auto"/>
          <w:sz w:val="20"/>
        </w:rPr>
        <w:tab/>
        <w:t>Pointe exothermique, FDOT</w:t>
      </w:r>
      <w:r w:rsidR="00E66B02">
        <w:rPr>
          <w:rFonts w:ascii="Helvetica" w:hAnsi="Helvetica"/>
          <w:color w:val="auto"/>
          <w:sz w:val="20"/>
        </w:rPr>
        <w:t xml:space="preserve"> </w:t>
      </w:r>
      <w:r w:rsidRPr="00633059">
        <w:rPr>
          <w:rFonts w:ascii="Helvetica" w:hAnsi="Helvetica"/>
          <w:color w:val="auto"/>
          <w:sz w:val="20"/>
        </w:rPr>
        <w:t>300 x 300 x 76 mm (12</w:t>
      </w:r>
      <w:r>
        <w:rPr>
          <w:rFonts w:ascii="Helvetica" w:hAnsi="Helvetica"/>
          <w:color w:val="auto"/>
          <w:sz w:val="20"/>
        </w:rPr>
        <w:t xml:space="preserve"> x 12 x 3 po) :</w:t>
      </w:r>
    </w:p>
    <w:p w14:paraId="2C1ABDF8" w14:textId="152A8CCE" w:rsidR="00D37B1D" w:rsidRPr="005305C7" w:rsidRDefault="00D37B1D" w:rsidP="00D37B1D">
      <w:pPr>
        <w:pStyle w:val="CMT"/>
        <w:ind w:left="2520" w:firstLine="72"/>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Unité standard</w:t>
      </w:r>
    </w:p>
    <w:p w14:paraId="18F68E4A" w14:textId="46CF4BF5" w:rsidR="00D37B1D" w:rsidRPr="005305C7"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lastRenderedPageBreak/>
        <w:t>a)</w:t>
      </w:r>
      <w:r w:rsidR="00E66B02">
        <w:rPr>
          <w:rFonts w:ascii="Helvetica" w:hAnsi="Helvetica"/>
          <w:color w:val="auto"/>
          <w:sz w:val="20"/>
        </w:rPr>
        <w:t xml:space="preserve"> </w:t>
      </w:r>
      <w:r>
        <w:rPr>
          <w:rFonts w:ascii="Helvetica" w:hAnsi="Helvetica"/>
          <w:color w:val="auto"/>
          <w:sz w:val="20"/>
        </w:rPr>
        <w:t xml:space="preserve"> 36,7</w:t>
      </w:r>
      <w:r w:rsidR="0095707B">
        <w:rPr>
          <w:rFonts w:ascii="Helvetica" w:hAnsi="Helvetica"/>
          <w:color w:val="auto"/>
          <w:sz w:val="20"/>
        </w:rPr>
        <w:t> °</w:t>
      </w:r>
      <w:r>
        <w:rPr>
          <w:rFonts w:ascii="Helvetica" w:hAnsi="Helvetica"/>
          <w:color w:val="auto"/>
          <w:sz w:val="20"/>
        </w:rPr>
        <w:t>C</w:t>
      </w:r>
    </w:p>
    <w:p w14:paraId="45BD7364" w14:textId="7F0934DE" w:rsidR="00D37B1D" w:rsidRPr="005305C7" w:rsidRDefault="00D37B1D" w:rsidP="00D37B1D">
      <w:pPr>
        <w:pStyle w:val="CMT"/>
        <w:ind w:left="1872" w:firstLine="720"/>
        <w:contextualSpacing/>
        <w:jc w:val="left"/>
        <w:rPr>
          <w:rFonts w:ascii="Helvetica" w:hAnsi="Helvetica"/>
          <w:color w:val="auto"/>
          <w:sz w:val="20"/>
        </w:rPr>
      </w:pPr>
      <w:r>
        <w:rPr>
          <w:rFonts w:ascii="Helvetica" w:hAnsi="Helvetica"/>
          <w:color w:val="auto"/>
          <w:sz w:val="20"/>
        </w:rPr>
        <w:t>2)</w:t>
      </w:r>
      <w:r w:rsidR="00E66B02">
        <w:rPr>
          <w:rFonts w:ascii="Helvetica" w:hAnsi="Helvetica"/>
          <w:color w:val="auto"/>
          <w:sz w:val="20"/>
        </w:rPr>
        <w:t xml:space="preserve"> </w:t>
      </w:r>
      <w:r>
        <w:rPr>
          <w:rFonts w:ascii="Helvetica" w:hAnsi="Helvetica"/>
          <w:color w:val="auto"/>
          <w:sz w:val="20"/>
        </w:rPr>
        <w:t xml:space="preserve"> Mélange à fluidité élevée</w:t>
      </w:r>
    </w:p>
    <w:p w14:paraId="10009A40" w14:textId="2AB1FFC4" w:rsidR="00D37B1D"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45,</w:t>
      </w:r>
      <w:r w:rsidR="0095707B">
        <w:rPr>
          <w:rFonts w:ascii="Helvetica" w:hAnsi="Helvetica"/>
          <w:color w:val="auto"/>
          <w:sz w:val="20"/>
        </w:rPr>
        <w:t>0 °</w:t>
      </w:r>
      <w:r>
        <w:rPr>
          <w:rFonts w:ascii="Helvetica" w:hAnsi="Helvetica"/>
          <w:color w:val="auto"/>
          <w:sz w:val="20"/>
        </w:rPr>
        <w:t>C</w:t>
      </w:r>
    </w:p>
    <w:p w14:paraId="022A3157" w14:textId="75F2676C" w:rsidR="00D37B1D" w:rsidRPr="005305C7" w:rsidRDefault="00633059" w:rsidP="00D37B1D">
      <w:pPr>
        <w:pStyle w:val="CMT"/>
        <w:ind w:left="2520" w:hanging="360"/>
        <w:contextualSpacing/>
        <w:jc w:val="left"/>
        <w:rPr>
          <w:rFonts w:ascii="Helvetica" w:hAnsi="Helvetica"/>
          <w:color w:val="auto"/>
          <w:sz w:val="20"/>
        </w:rPr>
      </w:pPr>
      <w:r>
        <w:rPr>
          <w:rFonts w:ascii="Helvetica" w:hAnsi="Helvetica"/>
          <w:color w:val="auto"/>
          <w:sz w:val="20"/>
        </w:rPr>
        <w:t>l</w:t>
      </w:r>
      <w:r w:rsidR="00D37B1D">
        <w:rPr>
          <w:rFonts w:ascii="Helvetica" w:hAnsi="Helvetica"/>
          <w:color w:val="auto"/>
          <w:sz w:val="20"/>
        </w:rPr>
        <w:t>.</w:t>
      </w:r>
      <w:r w:rsidR="00E66B02">
        <w:rPr>
          <w:rFonts w:ascii="Helvetica" w:hAnsi="Helvetica"/>
          <w:color w:val="auto"/>
          <w:sz w:val="20"/>
        </w:rPr>
        <w:t xml:space="preserve"> </w:t>
      </w:r>
      <w:r w:rsidR="00D37B1D">
        <w:rPr>
          <w:rFonts w:ascii="Helvetica" w:hAnsi="Helvetica"/>
          <w:color w:val="auto"/>
          <w:sz w:val="20"/>
        </w:rPr>
        <w:t xml:space="preserve"> Durée d’ouvrabilité :</w:t>
      </w:r>
    </w:p>
    <w:p w14:paraId="27B390E7" w14:textId="77777777" w:rsidR="00D37B1D" w:rsidRPr="005305C7" w:rsidRDefault="00D37B1D" w:rsidP="00D37B1D">
      <w:pPr>
        <w:pStyle w:val="CMT"/>
        <w:ind w:left="2520"/>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Unité standard</w:t>
      </w:r>
    </w:p>
    <w:p w14:paraId="2ECAAD89" w14:textId="1B18E4B3" w:rsidR="00D37B1D" w:rsidRPr="005305C7" w:rsidRDefault="00D37B1D" w:rsidP="00D37B1D">
      <w:pPr>
        <w:pStyle w:val="CMT"/>
        <w:ind w:left="2520" w:firstLine="36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90 minutes</w:t>
      </w:r>
    </w:p>
    <w:p w14:paraId="3070336B" w14:textId="1BB45C37" w:rsidR="00D37B1D" w:rsidRPr="005305C7" w:rsidRDefault="00D37B1D" w:rsidP="00D37B1D">
      <w:pPr>
        <w:pStyle w:val="CMT"/>
        <w:ind w:left="1800" w:firstLine="720"/>
        <w:contextualSpacing/>
        <w:jc w:val="left"/>
        <w:rPr>
          <w:rFonts w:ascii="Helvetica" w:hAnsi="Helvetica"/>
          <w:color w:val="auto"/>
          <w:sz w:val="20"/>
        </w:rPr>
      </w:pPr>
      <w:r>
        <w:rPr>
          <w:rFonts w:ascii="Helvetica" w:hAnsi="Helvetica"/>
          <w:color w:val="auto"/>
          <w:sz w:val="20"/>
        </w:rPr>
        <w:t>2)</w:t>
      </w:r>
      <w:r w:rsidR="00E66B02">
        <w:rPr>
          <w:rFonts w:ascii="Helvetica" w:hAnsi="Helvetica"/>
          <w:color w:val="auto"/>
          <w:sz w:val="20"/>
        </w:rPr>
        <w:t xml:space="preserve"> </w:t>
      </w:r>
      <w:r>
        <w:rPr>
          <w:rFonts w:ascii="Helvetica" w:hAnsi="Helvetica"/>
          <w:color w:val="auto"/>
          <w:sz w:val="20"/>
        </w:rPr>
        <w:t xml:space="preserve"> Mélange à fluidité élevée</w:t>
      </w:r>
    </w:p>
    <w:p w14:paraId="5B7150C2" w14:textId="1CB16487" w:rsidR="00D37B1D" w:rsidRDefault="00D37B1D" w:rsidP="00D37B1D">
      <w:pPr>
        <w:pStyle w:val="CMT"/>
        <w:ind w:left="2160" w:firstLine="72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70 minutes</w:t>
      </w:r>
    </w:p>
    <w:p w14:paraId="253407DB" w14:textId="77777777" w:rsidR="00D37B1D" w:rsidRPr="00596B06" w:rsidRDefault="00D37B1D" w:rsidP="00D37B1D">
      <w:pPr>
        <w:pStyle w:val="CMT"/>
        <w:contextualSpacing/>
        <w:jc w:val="left"/>
        <w:rPr>
          <w:rFonts w:ascii="Helvetica" w:hAnsi="Helvetica"/>
          <w:color w:val="auto"/>
          <w:sz w:val="20"/>
        </w:rPr>
      </w:pPr>
    </w:p>
    <w:p w14:paraId="581E2D2E" w14:textId="18C8625C" w:rsidR="00D37B1D" w:rsidRPr="00C143EB" w:rsidRDefault="00D37B1D" w:rsidP="00D37B1D">
      <w:pPr>
        <w:pStyle w:val="CMT"/>
        <w:contextualSpacing/>
        <w:jc w:val="left"/>
        <w:rPr>
          <w:rFonts w:ascii="Helvetica" w:hAnsi="Helvetica"/>
          <w:color w:val="auto"/>
          <w:sz w:val="20"/>
        </w:rPr>
      </w:pPr>
      <w:r>
        <w:rPr>
          <w:rFonts w:ascii="Helvetica" w:hAnsi="Helvetica"/>
          <w:color w:val="auto"/>
          <w:sz w:val="20"/>
        </w:rPr>
        <w:t>2.3</w:t>
      </w:r>
      <w:r>
        <w:rPr>
          <w:rFonts w:ascii="Helvetica" w:hAnsi="Helvetica"/>
          <w:color w:val="auto"/>
          <w:sz w:val="20"/>
        </w:rPr>
        <w:tab/>
      </w:r>
      <w:r w:rsidRPr="00C143EB">
        <w:rPr>
          <w:rFonts w:ascii="Helvetica" w:hAnsi="Helvetica"/>
          <w:color w:val="auto"/>
          <w:sz w:val="20"/>
        </w:rPr>
        <w:t>PRODUIT DE NETTOYAGE ET DE DÉCAPAGE POUR PLANCHER</w:t>
      </w:r>
      <w:r w:rsidR="0095707B" w:rsidRPr="00C143EB">
        <w:rPr>
          <w:rFonts w:ascii="Helvetica" w:hAnsi="Helvetica"/>
          <w:color w:val="auto"/>
          <w:sz w:val="20"/>
        </w:rPr>
        <w:t>S</w:t>
      </w:r>
      <w:r w:rsidR="00BD3EEF" w:rsidRPr="00C143EB">
        <w:rPr>
          <w:rFonts w:ascii="Helvetica" w:hAnsi="Helvetica"/>
          <w:color w:val="auto"/>
          <w:sz w:val="20"/>
        </w:rPr>
        <w:t xml:space="preserve"> </w:t>
      </w:r>
    </w:p>
    <w:p w14:paraId="18B828A3" w14:textId="6F768395" w:rsidR="00D37B1D" w:rsidRPr="00C143EB" w:rsidRDefault="00D37B1D" w:rsidP="00D37B1D">
      <w:pPr>
        <w:pStyle w:val="CMT"/>
        <w:contextualSpacing/>
        <w:jc w:val="left"/>
        <w:rPr>
          <w:rFonts w:ascii="Helvetica" w:hAnsi="Helvetica"/>
          <w:color w:val="auto"/>
          <w:sz w:val="20"/>
        </w:rPr>
      </w:pPr>
    </w:p>
    <w:p w14:paraId="6BFBB068" w14:textId="6D0B9B24" w:rsidR="00D37B1D" w:rsidRPr="005B1542" w:rsidRDefault="00D37B1D" w:rsidP="00D37B1D">
      <w:pPr>
        <w:pStyle w:val="CMT"/>
        <w:ind w:firstLine="720"/>
        <w:contextualSpacing/>
        <w:jc w:val="left"/>
        <w:rPr>
          <w:rFonts w:ascii="Helvetica" w:hAnsi="Helvetica"/>
          <w:color w:val="auto"/>
          <w:sz w:val="20"/>
        </w:rPr>
      </w:pPr>
      <w:r w:rsidRPr="00C143EB">
        <w:rPr>
          <w:rFonts w:ascii="Helvetica" w:hAnsi="Helvetica"/>
          <w:color w:val="auto"/>
          <w:sz w:val="20"/>
        </w:rPr>
        <w:t>A.</w:t>
      </w:r>
      <w:r w:rsidR="00E66B02" w:rsidRPr="00C143EB">
        <w:rPr>
          <w:rFonts w:ascii="Helvetica" w:hAnsi="Helvetica"/>
          <w:color w:val="auto"/>
          <w:sz w:val="20"/>
        </w:rPr>
        <w:t xml:space="preserve"> </w:t>
      </w:r>
      <w:r w:rsidRPr="00C143EB">
        <w:rPr>
          <w:rFonts w:ascii="Helvetica" w:hAnsi="Helvetica"/>
          <w:color w:val="auto"/>
          <w:sz w:val="20"/>
        </w:rPr>
        <w:t xml:space="preserve"> Produit de nettoyage et de décapage pour planchers :</w:t>
      </w:r>
    </w:p>
    <w:p w14:paraId="31AB72A7" w14:textId="38ECA76D" w:rsidR="00D37B1D" w:rsidRPr="00995768" w:rsidRDefault="00D37B1D" w:rsidP="00D37B1D">
      <w:pPr>
        <w:pStyle w:val="CMT"/>
        <w:ind w:left="720" w:firstLine="720"/>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Produits pour la base de conception :</w:t>
      </w:r>
      <w:r w:rsidR="00E66B02">
        <w:rPr>
          <w:rFonts w:ascii="Helvetica" w:hAnsi="Helvetica"/>
          <w:color w:val="auto"/>
          <w:sz w:val="20"/>
        </w:rPr>
        <w:t xml:space="preserve"> </w:t>
      </w:r>
    </w:p>
    <w:p w14:paraId="195A47AA" w14:textId="4AE8B693" w:rsidR="00D37B1D" w:rsidRDefault="00D37B1D" w:rsidP="00D37B1D">
      <w:pPr>
        <w:pStyle w:val="CMT"/>
        <w:ind w:left="2520" w:hanging="36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EUCO SOLVENT d'Euclid Canada</w:t>
      </w:r>
      <w:bookmarkStart w:id="0" w:name="_GoBack"/>
      <w:bookmarkEnd w:id="0"/>
    </w:p>
    <w:p w14:paraId="377BF3D0" w14:textId="77777777" w:rsidR="00D37B1D" w:rsidRPr="00596B06" w:rsidRDefault="00D37B1D" w:rsidP="00D37B1D">
      <w:pPr>
        <w:pStyle w:val="CMT"/>
        <w:contextualSpacing/>
        <w:jc w:val="left"/>
        <w:rPr>
          <w:rFonts w:ascii="Helvetica" w:hAnsi="Helvetica"/>
          <w:color w:val="auto"/>
          <w:sz w:val="20"/>
        </w:rPr>
      </w:pPr>
    </w:p>
    <w:p w14:paraId="29454F1A" w14:textId="77777777" w:rsidR="00D37B1D" w:rsidRPr="00596B06" w:rsidRDefault="00D37B1D" w:rsidP="00D37B1D">
      <w:pPr>
        <w:pStyle w:val="CMT"/>
        <w:contextualSpacing/>
        <w:jc w:val="left"/>
        <w:rPr>
          <w:rFonts w:ascii="Helvetica" w:hAnsi="Helvetica"/>
          <w:color w:val="auto"/>
          <w:sz w:val="20"/>
        </w:rPr>
      </w:pPr>
    </w:p>
    <w:p w14:paraId="62F8586F" w14:textId="77777777" w:rsidR="00D37B1D" w:rsidRDefault="00D37B1D" w:rsidP="00D37B1D">
      <w:pPr>
        <w:pStyle w:val="CMT"/>
        <w:contextualSpacing/>
        <w:jc w:val="left"/>
        <w:rPr>
          <w:rFonts w:ascii="Helvetica" w:hAnsi="Helvetica"/>
          <w:sz w:val="20"/>
        </w:rPr>
      </w:pPr>
      <w:r>
        <w:rPr>
          <w:rFonts w:ascii="Helvetica" w:hAnsi="Helvetica"/>
          <w:color w:val="auto"/>
          <w:sz w:val="20"/>
        </w:rPr>
        <w:t>PARTIE 3 :</w:t>
      </w:r>
      <w:r>
        <w:rPr>
          <w:rFonts w:ascii="Helvetica" w:hAnsi="Helvetica"/>
          <w:color w:val="auto"/>
          <w:sz w:val="20"/>
        </w:rPr>
        <w:tab/>
        <w:t>EXÉCUTION</w:t>
      </w:r>
    </w:p>
    <w:p w14:paraId="6C6578CE" w14:textId="77777777" w:rsidR="00D37B1D" w:rsidRPr="00596B06" w:rsidRDefault="00D37B1D" w:rsidP="00D37B1D">
      <w:pPr>
        <w:pStyle w:val="CMT"/>
        <w:contextualSpacing/>
        <w:jc w:val="left"/>
        <w:rPr>
          <w:rFonts w:ascii="Helvetica" w:hAnsi="Helvetica"/>
          <w:sz w:val="20"/>
        </w:rPr>
      </w:pPr>
    </w:p>
    <w:p w14:paraId="0BD878EA" w14:textId="77777777" w:rsidR="00D37B1D" w:rsidRPr="005305C7" w:rsidRDefault="00D37B1D" w:rsidP="00D37B1D">
      <w:pPr>
        <w:pStyle w:val="CMT"/>
        <w:contextualSpacing/>
        <w:jc w:val="left"/>
        <w:rPr>
          <w:rFonts w:ascii="Helvetica" w:hAnsi="Helvetica"/>
          <w:b/>
          <w:i/>
          <w:color w:val="0070C0"/>
          <w:sz w:val="20"/>
        </w:rPr>
      </w:pPr>
      <w:r>
        <w:rPr>
          <w:rFonts w:ascii="Helvetica" w:hAnsi="Helvetica"/>
          <w:b/>
          <w:i/>
          <w:color w:val="0070C0"/>
          <w:sz w:val="20"/>
        </w:rPr>
        <w:t xml:space="preserve">{Note au rédacteur : Cette section traite de la préparation de la surface, de la préparation des coffrages, du malaxage, de la mise en place, de la cure et du nettoyage pour le coulis époxydique </w:t>
      </w:r>
      <w:r>
        <w:rPr>
          <w:rFonts w:ascii="Helvetica" w:hAnsi="Helvetica"/>
          <w:b/>
          <w:bCs/>
          <w:i/>
          <w:color w:val="0070C0"/>
          <w:sz w:val="20"/>
        </w:rPr>
        <w:t>E</w:t>
      </w:r>
      <w:r>
        <w:rPr>
          <w:rFonts w:ascii="Helvetica" w:hAnsi="Helvetica"/>
          <w:b/>
          <w:bCs/>
          <w:i/>
          <w:color w:val="0070C0"/>
          <w:sz w:val="20"/>
          <w:vertAlign w:val="superscript"/>
        </w:rPr>
        <w:t>3</w:t>
      </w:r>
      <w:r>
        <w:rPr>
          <w:rFonts w:ascii="Helvetica" w:hAnsi="Helvetica"/>
          <w:b/>
          <w:bCs/>
          <w:i/>
          <w:color w:val="0070C0"/>
          <w:sz w:val="20"/>
        </w:rPr>
        <w:t>-DEEP POUR</w:t>
      </w:r>
      <w:r>
        <w:rPr>
          <w:rFonts w:ascii="Helvetica" w:hAnsi="Helvetica"/>
          <w:b/>
          <w:i/>
          <w:color w:val="0070C0"/>
          <w:sz w:val="20"/>
        </w:rPr>
        <w:t xml:space="preserve"> d’Euclid Canada. Pour des directives et renseignements en matière de sécurité à jour, veuillez consulter les fiches techniques et les fiches de données de sécurité affichées au </w:t>
      </w:r>
      <w:hyperlink r:id="rId9" w:history="1">
        <w:r>
          <w:rPr>
            <w:rStyle w:val="Hyperlink"/>
            <w:rFonts w:ascii="Helvetica" w:hAnsi="Helvetica"/>
            <w:b/>
            <w:i/>
            <w:color w:val="0070C0"/>
            <w:sz w:val="20"/>
          </w:rPr>
          <w:t>www.euclidchemical.com</w:t>
        </w:r>
      </w:hyperlink>
      <w:r>
        <w:rPr>
          <w:rFonts w:ascii="Helvetica" w:hAnsi="Helvetica"/>
          <w:b/>
          <w:i/>
          <w:color w:val="0070C0"/>
          <w:sz w:val="20"/>
        </w:rPr>
        <w:t>.}</w:t>
      </w:r>
    </w:p>
    <w:p w14:paraId="0AA36913" w14:textId="77777777" w:rsidR="00D37B1D" w:rsidRPr="00596B06" w:rsidRDefault="00D37B1D" w:rsidP="00D37B1D">
      <w:pPr>
        <w:pStyle w:val="CMT"/>
        <w:contextualSpacing/>
        <w:jc w:val="left"/>
        <w:rPr>
          <w:rFonts w:ascii="Helvetica" w:hAnsi="Helvetica"/>
          <w:b/>
          <w:i/>
          <w:color w:val="0070C0"/>
          <w:sz w:val="20"/>
        </w:rPr>
      </w:pPr>
    </w:p>
    <w:p w14:paraId="3A02BCFE" w14:textId="77777777" w:rsidR="00D37B1D" w:rsidRPr="005305C7" w:rsidRDefault="00D37B1D" w:rsidP="00D37B1D">
      <w:pPr>
        <w:pStyle w:val="CMT"/>
        <w:contextualSpacing/>
        <w:jc w:val="left"/>
        <w:rPr>
          <w:rFonts w:ascii="Helvetica" w:hAnsi="Helvetica"/>
          <w:color w:val="auto"/>
          <w:sz w:val="20"/>
        </w:rPr>
      </w:pPr>
      <w:r>
        <w:rPr>
          <w:rFonts w:ascii="Helvetica" w:hAnsi="Helvetica"/>
          <w:color w:val="auto"/>
          <w:sz w:val="20"/>
        </w:rPr>
        <w:t>3.1</w:t>
      </w:r>
      <w:r>
        <w:rPr>
          <w:rFonts w:ascii="Helvetica" w:hAnsi="Helvetica"/>
          <w:color w:val="auto"/>
          <w:sz w:val="20"/>
        </w:rPr>
        <w:tab/>
        <w:t>PRÉPARATION DE LA SURFACE</w:t>
      </w:r>
    </w:p>
    <w:p w14:paraId="161933DE" w14:textId="77777777" w:rsidR="00D37B1D" w:rsidRPr="00596B06" w:rsidRDefault="00D37B1D" w:rsidP="00D37B1D">
      <w:pPr>
        <w:pStyle w:val="CMT"/>
        <w:contextualSpacing/>
        <w:jc w:val="left"/>
        <w:rPr>
          <w:rFonts w:ascii="Helvetica" w:hAnsi="Helvetica"/>
          <w:color w:val="auto"/>
          <w:sz w:val="20"/>
        </w:rPr>
      </w:pPr>
    </w:p>
    <w:p w14:paraId="5FE78C16" w14:textId="0FF73FC6" w:rsidR="00D37B1D" w:rsidRPr="005305C7" w:rsidRDefault="00D37B1D" w:rsidP="00D37B1D">
      <w:pPr>
        <w:pStyle w:val="CMT"/>
        <w:ind w:firstLine="72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Béton</w:t>
      </w:r>
    </w:p>
    <w:p w14:paraId="50F609EC" w14:textId="77777777" w:rsidR="00D37B1D" w:rsidRPr="005305C7" w:rsidRDefault="00D37B1D" w:rsidP="00D37B1D">
      <w:pPr>
        <w:pStyle w:val="CMT"/>
        <w:ind w:left="2160" w:hanging="720"/>
        <w:contextualSpacing/>
        <w:jc w:val="left"/>
        <w:rPr>
          <w:rFonts w:ascii="Helvetica" w:hAnsi="Helvetica"/>
          <w:color w:val="auto"/>
          <w:sz w:val="20"/>
        </w:rPr>
      </w:pPr>
      <w:r>
        <w:rPr>
          <w:rFonts w:ascii="Helvetica" w:hAnsi="Helvetica"/>
          <w:color w:val="auto"/>
          <w:sz w:val="20"/>
        </w:rPr>
        <w:t>1.</w:t>
      </w:r>
      <w:r>
        <w:rPr>
          <w:rFonts w:ascii="Helvetica" w:hAnsi="Helvetica"/>
          <w:color w:val="auto"/>
          <w:sz w:val="20"/>
        </w:rPr>
        <w:tab/>
        <w:t xml:space="preserve">Un nouveau béton doit être âgé d’au moins 28 jours. Le béton doit être propre, sec et texturé. L'huile, la saleté, les débris, la peinture et le béton endommagé doivent être enlevés. La surface doit être préparée mécaniquement à l'aide d'un équipement adéquat afin d'obtenir un profil de surface correspondant à CSP 5 à 7 conformément à la directive 310.2 de l’ICRI et pour exposer le gros granulat du béton. La dernière étape du nettoyage doit consister en l'élimination complète de la poussière et des résidus. Laisser le béton sécher complètement. Le béton doit posséder une surface texturée à porosité ouverte et être exempt d'agents de cure et de scellement. Lorsque le produit est appliqué sur du béton existant, préparer les surfaces en béton selon les directives écrites du fabricant. </w:t>
      </w:r>
    </w:p>
    <w:p w14:paraId="09E78C16" w14:textId="77777777" w:rsidR="00D37B1D" w:rsidRPr="00596B06" w:rsidRDefault="00D37B1D" w:rsidP="00D37B1D">
      <w:pPr>
        <w:pStyle w:val="CMT"/>
        <w:contextualSpacing/>
        <w:jc w:val="left"/>
        <w:rPr>
          <w:rFonts w:ascii="Helvetica" w:hAnsi="Helvetica"/>
          <w:color w:val="auto"/>
          <w:sz w:val="20"/>
        </w:rPr>
      </w:pPr>
    </w:p>
    <w:p w14:paraId="12F5EA4F" w14:textId="5694C915" w:rsidR="00D37B1D" w:rsidRPr="005305C7" w:rsidRDefault="00D37B1D" w:rsidP="00D37B1D">
      <w:pPr>
        <w:pStyle w:val="CMT"/>
        <w:ind w:firstLine="720"/>
        <w:contextualSpacing/>
        <w:jc w:val="left"/>
        <w:rPr>
          <w:rFonts w:ascii="Helvetica" w:hAnsi="Helvetica" w:cs="Swis721 BT"/>
          <w:bCs/>
          <w:color w:val="auto"/>
          <w:sz w:val="20"/>
        </w:rPr>
      </w:pPr>
      <w:r>
        <w:rPr>
          <w:rFonts w:ascii="Helvetica" w:hAnsi="Helvetica"/>
          <w:color w:val="auto"/>
          <w:sz w:val="20"/>
        </w:rPr>
        <w:t>B.</w:t>
      </w:r>
      <w:r w:rsidR="00E66B02">
        <w:rPr>
          <w:rFonts w:ascii="Helvetica" w:hAnsi="Helvetica"/>
          <w:color w:val="auto"/>
          <w:sz w:val="20"/>
        </w:rPr>
        <w:t xml:space="preserve"> </w:t>
      </w:r>
      <w:r>
        <w:rPr>
          <w:rFonts w:ascii="Helvetica" w:hAnsi="Helvetica"/>
          <w:color w:val="auto"/>
          <w:sz w:val="20"/>
        </w:rPr>
        <w:t xml:space="preserve"> Préparation des plaques de base</w:t>
      </w:r>
    </w:p>
    <w:p w14:paraId="7F2A82A8" w14:textId="77777777" w:rsidR="00D37B1D" w:rsidRPr="005305C7" w:rsidRDefault="00D37B1D" w:rsidP="00D37B1D">
      <w:pPr>
        <w:pStyle w:val="CMT"/>
        <w:ind w:left="2160" w:hanging="720"/>
        <w:contextualSpacing/>
        <w:jc w:val="left"/>
        <w:rPr>
          <w:rFonts w:ascii="Helvetica" w:hAnsi="Helvetica"/>
          <w:color w:val="auto"/>
          <w:sz w:val="20"/>
        </w:rPr>
      </w:pPr>
      <w:r>
        <w:rPr>
          <w:rFonts w:ascii="Helvetica" w:hAnsi="Helvetica"/>
          <w:bCs/>
          <w:color w:val="auto"/>
          <w:sz w:val="20"/>
        </w:rPr>
        <w:t>1.</w:t>
      </w:r>
      <w:r>
        <w:rPr>
          <w:rFonts w:ascii="Helvetica" w:hAnsi="Helvetica"/>
          <w:bCs/>
          <w:color w:val="auto"/>
          <w:sz w:val="20"/>
        </w:rPr>
        <w:tab/>
      </w:r>
      <w:r>
        <w:rPr>
          <w:rFonts w:ascii="Helvetica" w:hAnsi="Helvetica"/>
          <w:color w:val="auto"/>
          <w:sz w:val="20"/>
        </w:rPr>
        <w:t>Décaper les plaques de base en métal par projection d'abrasif jusqu'à l'obtention d'un fini commercial (SSPC SP6). Mettre le coulis en place immédiatement afin d'empêcher la plaque de s'oxyder à nouveau.</w:t>
      </w:r>
    </w:p>
    <w:p w14:paraId="1CE35C72" w14:textId="77777777" w:rsidR="00D37B1D" w:rsidRPr="00596B06" w:rsidRDefault="00D37B1D" w:rsidP="00D37B1D">
      <w:pPr>
        <w:pStyle w:val="CMT"/>
        <w:contextualSpacing/>
        <w:jc w:val="left"/>
        <w:rPr>
          <w:rFonts w:ascii="Helvetica" w:hAnsi="Helvetica"/>
          <w:color w:val="auto"/>
          <w:sz w:val="20"/>
        </w:rPr>
      </w:pPr>
    </w:p>
    <w:p w14:paraId="595E4D2A" w14:textId="1BDF4BAC" w:rsidR="00D37B1D" w:rsidRPr="005305C7" w:rsidRDefault="00D37B1D" w:rsidP="00D37B1D">
      <w:pPr>
        <w:pStyle w:val="CMT"/>
        <w:ind w:firstLine="720"/>
        <w:contextualSpacing/>
        <w:jc w:val="left"/>
        <w:rPr>
          <w:rFonts w:ascii="Helvetica" w:hAnsi="Helvetica"/>
          <w:bCs/>
          <w:color w:val="auto"/>
          <w:sz w:val="20"/>
        </w:rPr>
      </w:pPr>
      <w:r>
        <w:rPr>
          <w:rFonts w:ascii="Helvetica" w:hAnsi="Helvetica"/>
          <w:color w:val="auto"/>
          <w:sz w:val="20"/>
        </w:rPr>
        <w:t>C.</w:t>
      </w:r>
      <w:r w:rsidR="00E66B02">
        <w:rPr>
          <w:rFonts w:ascii="Helvetica" w:hAnsi="Helvetica"/>
          <w:color w:val="auto"/>
          <w:sz w:val="20"/>
        </w:rPr>
        <w:t xml:space="preserve"> </w:t>
      </w:r>
      <w:r>
        <w:rPr>
          <w:rFonts w:ascii="Helvetica" w:hAnsi="Helvetica"/>
          <w:color w:val="auto"/>
          <w:sz w:val="20"/>
        </w:rPr>
        <w:t xml:space="preserve"> Trous de boulons d'ancrage et systèmes de blocage</w:t>
      </w:r>
    </w:p>
    <w:p w14:paraId="11C3369A" w14:textId="77777777" w:rsidR="00D37B1D" w:rsidRPr="005305C7" w:rsidRDefault="00D37B1D" w:rsidP="00D37B1D">
      <w:pPr>
        <w:pStyle w:val="CMT"/>
        <w:ind w:left="2160" w:hanging="720"/>
        <w:contextualSpacing/>
        <w:jc w:val="left"/>
        <w:rPr>
          <w:rFonts w:ascii="Helvetica" w:hAnsi="Helvetica"/>
          <w:color w:val="auto"/>
          <w:sz w:val="20"/>
        </w:rPr>
      </w:pPr>
      <w:r>
        <w:rPr>
          <w:rFonts w:ascii="Helvetica" w:hAnsi="Helvetica"/>
          <w:bCs/>
          <w:color w:val="auto"/>
          <w:sz w:val="20"/>
        </w:rPr>
        <w:t>1.</w:t>
      </w:r>
      <w:r>
        <w:rPr>
          <w:rFonts w:ascii="Helvetica" w:hAnsi="Helvetica"/>
          <w:bCs/>
          <w:color w:val="auto"/>
          <w:sz w:val="20"/>
        </w:rPr>
        <w:tab/>
      </w:r>
      <w:r>
        <w:rPr>
          <w:rFonts w:ascii="Helvetica" w:hAnsi="Helvetica"/>
          <w:color w:val="auto"/>
          <w:sz w:val="20"/>
        </w:rPr>
        <w:t>Les trous et les coffrages devraient être nettoyés afin d'enlever la poussière, la saleté et les débris, puis on devrait leur permettre de sécher. Si les côtés sont lisses, rendre le trou rugueux à l'aide d'une brosse métallique à poils durs ou d'une brosse métallique rotative, si l'espace le permet. Retirer la poussière et les débris.</w:t>
      </w:r>
    </w:p>
    <w:p w14:paraId="09126C78" w14:textId="77777777" w:rsidR="00D37B1D" w:rsidRPr="00596B06" w:rsidRDefault="00D37B1D" w:rsidP="00D37B1D">
      <w:pPr>
        <w:pStyle w:val="CMT"/>
        <w:contextualSpacing/>
        <w:jc w:val="left"/>
        <w:rPr>
          <w:rFonts w:ascii="Helvetica" w:hAnsi="Helvetica"/>
          <w:color w:val="auto"/>
          <w:sz w:val="20"/>
        </w:rPr>
      </w:pPr>
    </w:p>
    <w:p w14:paraId="22D7E5C0" w14:textId="77777777" w:rsidR="00D37B1D" w:rsidRPr="005305C7" w:rsidRDefault="00D37B1D" w:rsidP="00D37B1D">
      <w:pPr>
        <w:pStyle w:val="CMT"/>
        <w:contextualSpacing/>
        <w:jc w:val="left"/>
        <w:rPr>
          <w:rFonts w:ascii="Helvetica" w:hAnsi="Helvetica"/>
          <w:color w:val="auto"/>
          <w:sz w:val="20"/>
        </w:rPr>
      </w:pPr>
      <w:r>
        <w:rPr>
          <w:rFonts w:ascii="Helvetica" w:hAnsi="Helvetica"/>
          <w:color w:val="auto"/>
          <w:sz w:val="20"/>
        </w:rPr>
        <w:t>3.2</w:t>
      </w:r>
      <w:r>
        <w:rPr>
          <w:rFonts w:ascii="Helvetica" w:hAnsi="Helvetica"/>
          <w:color w:val="auto"/>
          <w:sz w:val="20"/>
        </w:rPr>
        <w:tab/>
        <w:t xml:space="preserve">PRÉPARATION DES COFFRAGES </w:t>
      </w:r>
    </w:p>
    <w:p w14:paraId="4F95CC64" w14:textId="77777777" w:rsidR="00D37B1D" w:rsidRPr="00596B06" w:rsidRDefault="00D37B1D" w:rsidP="00D37B1D">
      <w:pPr>
        <w:pStyle w:val="CMT"/>
        <w:ind w:firstLine="720"/>
        <w:contextualSpacing/>
        <w:jc w:val="left"/>
        <w:rPr>
          <w:rFonts w:ascii="Helvetica" w:hAnsi="Helvetica"/>
          <w:color w:val="auto"/>
          <w:sz w:val="20"/>
        </w:rPr>
      </w:pPr>
    </w:p>
    <w:p w14:paraId="40CF09C5" w14:textId="601A63CE" w:rsidR="00D37B1D" w:rsidRPr="005305C7" w:rsidRDefault="00D37B1D" w:rsidP="00D37B1D">
      <w:pPr>
        <w:pStyle w:val="CMT"/>
        <w:ind w:left="1440" w:hanging="72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Les coffrages doivent être étanches et bien étayés afin d'empêcher les fuites. Afin de faciliter le démoulage, les coffrages doivent être enduits de deux couches de cire en pâte ou chaque pièce de coffrage doit être enveloppée de polyéthylène. Les coffrages doivent être installés légèrement plus haut que le dessous de la plaque de base.</w:t>
      </w:r>
    </w:p>
    <w:p w14:paraId="61B6A48E" w14:textId="77777777" w:rsidR="00D37B1D" w:rsidRPr="00596B06" w:rsidRDefault="00D37B1D" w:rsidP="00D37B1D">
      <w:pPr>
        <w:pStyle w:val="CMT"/>
        <w:contextualSpacing/>
        <w:jc w:val="left"/>
        <w:rPr>
          <w:rFonts w:ascii="Helvetica" w:hAnsi="Helvetica"/>
          <w:color w:val="auto"/>
          <w:sz w:val="20"/>
        </w:rPr>
      </w:pPr>
    </w:p>
    <w:p w14:paraId="36D3BB32" w14:textId="77777777" w:rsidR="00D37B1D" w:rsidRPr="005305C7" w:rsidRDefault="00D37B1D" w:rsidP="00D37B1D">
      <w:pPr>
        <w:pStyle w:val="CMT"/>
        <w:contextualSpacing/>
        <w:jc w:val="left"/>
        <w:rPr>
          <w:rFonts w:ascii="Helvetica" w:hAnsi="Helvetica"/>
          <w:color w:val="auto"/>
          <w:sz w:val="20"/>
        </w:rPr>
      </w:pPr>
      <w:r>
        <w:rPr>
          <w:rFonts w:ascii="Helvetica" w:hAnsi="Helvetica"/>
          <w:color w:val="auto"/>
          <w:sz w:val="20"/>
        </w:rPr>
        <w:t>3.3</w:t>
      </w:r>
      <w:r>
        <w:rPr>
          <w:rFonts w:ascii="Helvetica" w:hAnsi="Helvetica"/>
          <w:color w:val="auto"/>
          <w:sz w:val="20"/>
        </w:rPr>
        <w:tab/>
        <w:t>MALAXAGE</w:t>
      </w:r>
    </w:p>
    <w:p w14:paraId="73C13E4F" w14:textId="77777777" w:rsidR="00D37B1D" w:rsidRPr="00596B06" w:rsidRDefault="00D37B1D" w:rsidP="00D37B1D">
      <w:pPr>
        <w:pStyle w:val="CMT"/>
        <w:contextualSpacing/>
        <w:jc w:val="left"/>
        <w:rPr>
          <w:rFonts w:ascii="Helvetica" w:hAnsi="Helvetica"/>
          <w:color w:val="auto"/>
          <w:sz w:val="20"/>
        </w:rPr>
      </w:pPr>
    </w:p>
    <w:p w14:paraId="57805209" w14:textId="45E4DD79" w:rsidR="00D37B1D" w:rsidRPr="005305C7" w:rsidRDefault="00D37B1D" w:rsidP="00D37B1D">
      <w:pPr>
        <w:pStyle w:val="CMT"/>
        <w:ind w:left="1440" w:hanging="72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Dans un seau propre, mélanger lentement les Parties A et B (résine et durcisseur) séparément pendant 2 minutes à l'aide d'une perceuse munie d'un mélangeur. Afin de faciliter le malaxage, ajouter la Partie B à la Partie A (et non l'inverse). L’époxyde doit être bien mélangé afin d’assurer une réaction chimique adéquate. Ne pas incorporer d'air par fouettage dans le mélange pendant le malaxage. Une fois l'époxyde malaxé, ajouter la Partie C (granulats), un sac à la fois, et malaxer pendant 2 à 3 minutes après chaque ajout jusqu'à ce que le granulat soit complètement mouillé. Pour les travaux d'envergure, utiliser un malaxeur à mortier. Mettre en place immédiatement.</w:t>
      </w:r>
    </w:p>
    <w:p w14:paraId="70D80E7D" w14:textId="77777777" w:rsidR="00D37B1D" w:rsidRPr="00596B06" w:rsidRDefault="00D37B1D" w:rsidP="00D37B1D">
      <w:pPr>
        <w:pStyle w:val="CMT"/>
        <w:contextualSpacing/>
        <w:jc w:val="left"/>
        <w:rPr>
          <w:rFonts w:ascii="Helvetica" w:hAnsi="Helvetica"/>
          <w:color w:val="auto"/>
          <w:sz w:val="20"/>
        </w:rPr>
      </w:pPr>
    </w:p>
    <w:p w14:paraId="2BB0CED7" w14:textId="77777777" w:rsidR="00D37B1D" w:rsidRPr="005305C7" w:rsidRDefault="00D37B1D" w:rsidP="00D37B1D">
      <w:pPr>
        <w:pStyle w:val="CMT"/>
        <w:contextualSpacing/>
        <w:jc w:val="left"/>
        <w:rPr>
          <w:rFonts w:ascii="Helvetica" w:hAnsi="Helvetica"/>
          <w:bCs/>
          <w:color w:val="auto"/>
          <w:sz w:val="20"/>
        </w:rPr>
      </w:pPr>
      <w:r>
        <w:rPr>
          <w:rFonts w:ascii="Helvetica" w:hAnsi="Helvetica"/>
          <w:color w:val="auto"/>
          <w:sz w:val="20"/>
        </w:rPr>
        <w:t>3.4</w:t>
      </w:r>
      <w:r>
        <w:rPr>
          <w:rFonts w:ascii="Helvetica" w:hAnsi="Helvetica"/>
          <w:color w:val="auto"/>
          <w:sz w:val="20"/>
        </w:rPr>
        <w:tab/>
      </w:r>
      <w:r>
        <w:rPr>
          <w:rFonts w:ascii="Helvetica" w:hAnsi="Helvetica"/>
          <w:bCs/>
          <w:color w:val="auto"/>
          <w:sz w:val="20"/>
        </w:rPr>
        <w:t>MISE EN PLACE</w:t>
      </w:r>
    </w:p>
    <w:p w14:paraId="38FBEAA5" w14:textId="77777777" w:rsidR="00D37B1D" w:rsidRPr="00596B06" w:rsidRDefault="00D37B1D" w:rsidP="00D37B1D">
      <w:pPr>
        <w:pStyle w:val="CMT"/>
        <w:contextualSpacing/>
        <w:jc w:val="left"/>
        <w:rPr>
          <w:rFonts w:ascii="Helvetica" w:hAnsi="Helvetica"/>
          <w:bCs/>
          <w:color w:val="auto"/>
          <w:sz w:val="20"/>
        </w:rPr>
      </w:pPr>
    </w:p>
    <w:p w14:paraId="33657BEE" w14:textId="4B7D4147" w:rsidR="00D37B1D" w:rsidRPr="005305C7" w:rsidRDefault="00D37B1D" w:rsidP="00D37B1D">
      <w:pPr>
        <w:pStyle w:val="CMT"/>
        <w:ind w:left="1440" w:hanging="72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Couler dans les trous de boulons d'ancrage et les systèmes de blocage à l'aide d'un entonnoir, ou directement si l'espace le permet. Pour joindre les plaques, déverser le coulis dans la bâche d'alimentation et laisser couler sous la plaque. Des courroies préalablement disposées sous la plaque aideront à travailler et placer le coulis. Le coulis doit être mis en place à une épaisseur minimum de 25 mm (1 po) et maximum de 46 cm (18 po) par couche. </w:t>
      </w:r>
      <w:r>
        <w:rPr>
          <w:rFonts w:ascii="Helvetica" w:hAnsi="Helvetica"/>
          <w:b/>
          <w:bCs/>
          <w:color w:val="auto"/>
          <w:sz w:val="20"/>
        </w:rPr>
        <w:t xml:space="preserve">Note : </w:t>
      </w:r>
      <w:r>
        <w:rPr>
          <w:rFonts w:ascii="Helvetica" w:hAnsi="Helvetica"/>
          <w:color w:val="auto"/>
          <w:sz w:val="20"/>
        </w:rPr>
        <w:t>Amener tous les matériaux du coulis époxydique ainsi que la fondation et la plaque de base à une température se rapprochant de 23 °C. Des températures froides réduiront significativement les caractéristiques d'écoulement et augmenteront le degré de difficulté de l'application du coulis pour joindre la plaque de base. Des températures plus élevées augmenteront l'écoulement initial, mais réduiront la durée d'ouvrabilité.</w:t>
      </w:r>
    </w:p>
    <w:p w14:paraId="575037F2" w14:textId="77777777" w:rsidR="00D37B1D" w:rsidRPr="00596B06" w:rsidRDefault="00D37B1D" w:rsidP="00D37B1D">
      <w:pPr>
        <w:pStyle w:val="CMT"/>
        <w:contextualSpacing/>
        <w:jc w:val="left"/>
        <w:rPr>
          <w:rFonts w:ascii="Helvetica" w:hAnsi="Helvetica"/>
          <w:color w:val="auto"/>
          <w:sz w:val="20"/>
        </w:rPr>
      </w:pPr>
    </w:p>
    <w:p w14:paraId="3B7F1AA0" w14:textId="77777777" w:rsidR="00D37B1D" w:rsidRPr="005305C7" w:rsidRDefault="00D37B1D" w:rsidP="00D37B1D">
      <w:pPr>
        <w:pStyle w:val="CMT"/>
        <w:contextualSpacing/>
        <w:jc w:val="left"/>
        <w:rPr>
          <w:rFonts w:ascii="Helvetica" w:hAnsi="Helvetica"/>
          <w:bCs/>
          <w:color w:val="auto"/>
          <w:sz w:val="20"/>
        </w:rPr>
      </w:pPr>
      <w:r>
        <w:rPr>
          <w:rFonts w:ascii="Helvetica" w:hAnsi="Helvetica"/>
          <w:color w:val="auto"/>
          <w:sz w:val="20"/>
        </w:rPr>
        <w:t>3.5</w:t>
      </w:r>
      <w:r>
        <w:rPr>
          <w:rFonts w:ascii="Helvetica" w:hAnsi="Helvetica"/>
          <w:color w:val="auto"/>
          <w:sz w:val="20"/>
        </w:rPr>
        <w:tab/>
        <w:t>CURE</w:t>
      </w:r>
    </w:p>
    <w:p w14:paraId="162D528E" w14:textId="77777777" w:rsidR="00D37B1D" w:rsidRPr="00596B06" w:rsidRDefault="00D37B1D" w:rsidP="00D37B1D">
      <w:pPr>
        <w:pStyle w:val="CMT"/>
        <w:contextualSpacing/>
        <w:jc w:val="left"/>
        <w:rPr>
          <w:rFonts w:ascii="Helvetica" w:hAnsi="Helvetica"/>
          <w:bCs/>
          <w:color w:val="auto"/>
          <w:sz w:val="20"/>
        </w:rPr>
      </w:pPr>
    </w:p>
    <w:p w14:paraId="63C4D0AC" w14:textId="2E4576DE" w:rsidR="00D37B1D" w:rsidRPr="004F5DB2" w:rsidRDefault="00D37B1D" w:rsidP="00D37B1D">
      <w:pPr>
        <w:pStyle w:val="CMT"/>
        <w:ind w:firstLine="72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Le coulis époxydique ne requiert aucune procédure de cure particulière.</w:t>
      </w:r>
    </w:p>
    <w:p w14:paraId="10865471" w14:textId="77777777" w:rsidR="00D37B1D" w:rsidRPr="00596B06" w:rsidRDefault="00D37B1D" w:rsidP="00D37B1D">
      <w:pPr>
        <w:pStyle w:val="CMT"/>
        <w:contextualSpacing/>
        <w:jc w:val="left"/>
        <w:rPr>
          <w:rFonts w:ascii="Helvetica" w:hAnsi="Helvetica"/>
          <w:color w:val="auto"/>
          <w:sz w:val="20"/>
        </w:rPr>
      </w:pPr>
    </w:p>
    <w:p w14:paraId="0C62337E" w14:textId="77777777" w:rsidR="00D37B1D" w:rsidRPr="005305C7" w:rsidRDefault="00D37B1D" w:rsidP="00D37B1D">
      <w:pPr>
        <w:pStyle w:val="CMT"/>
        <w:contextualSpacing/>
        <w:jc w:val="left"/>
        <w:rPr>
          <w:rFonts w:ascii="Helvetica" w:hAnsi="Helvetica"/>
          <w:color w:val="auto"/>
          <w:sz w:val="20"/>
        </w:rPr>
      </w:pPr>
      <w:r>
        <w:rPr>
          <w:rFonts w:ascii="Helvetica" w:hAnsi="Helvetica"/>
          <w:color w:val="auto"/>
          <w:sz w:val="20"/>
        </w:rPr>
        <w:t>3.6</w:t>
      </w:r>
      <w:r>
        <w:rPr>
          <w:rFonts w:ascii="Helvetica" w:hAnsi="Helvetica"/>
          <w:color w:val="auto"/>
          <w:sz w:val="20"/>
        </w:rPr>
        <w:tab/>
        <w:t>FINITION</w:t>
      </w:r>
    </w:p>
    <w:p w14:paraId="2E5E2458" w14:textId="77777777" w:rsidR="00D37B1D" w:rsidRPr="00596B06" w:rsidRDefault="00D37B1D" w:rsidP="00D37B1D">
      <w:pPr>
        <w:pStyle w:val="CMT"/>
        <w:contextualSpacing/>
        <w:jc w:val="left"/>
        <w:rPr>
          <w:rFonts w:ascii="Helvetica" w:hAnsi="Helvetica"/>
          <w:color w:val="auto"/>
          <w:sz w:val="20"/>
        </w:rPr>
      </w:pPr>
    </w:p>
    <w:p w14:paraId="6CA506F4" w14:textId="7807EF95" w:rsidR="00D37B1D" w:rsidRPr="005305C7" w:rsidRDefault="00D37B1D" w:rsidP="00D37B1D">
      <w:pPr>
        <w:pStyle w:val="CMT"/>
        <w:ind w:left="1440" w:hanging="720"/>
        <w:contextualSpacing/>
        <w:jc w:val="left"/>
        <w:rPr>
          <w:rFonts w:ascii="Helvetica" w:hAnsi="Helvetica"/>
          <w:color w:val="auto"/>
          <w:sz w:val="20"/>
        </w:rPr>
      </w:pPr>
      <w:r>
        <w:rPr>
          <w:rFonts w:ascii="Helvetica" w:hAnsi="Helvetica"/>
          <w:color w:val="auto"/>
          <w:sz w:val="20"/>
        </w:rPr>
        <w:t>A.</w:t>
      </w:r>
      <w:r w:rsidR="00E66B02">
        <w:rPr>
          <w:rFonts w:ascii="Helvetica" w:hAnsi="Helvetica"/>
          <w:color w:val="auto"/>
          <w:sz w:val="20"/>
        </w:rPr>
        <w:t xml:space="preserve"> </w:t>
      </w:r>
      <w:r>
        <w:rPr>
          <w:rFonts w:ascii="Helvetica" w:hAnsi="Helvetica"/>
          <w:color w:val="auto"/>
          <w:sz w:val="20"/>
        </w:rPr>
        <w:t xml:space="preserve"> Si un fini lisse est souhaité, la surface du coulis peut être brossée et truellée à l'aide d'une application légère du produit de nettoyage et de décapage.</w:t>
      </w:r>
    </w:p>
    <w:p w14:paraId="1208A752" w14:textId="77777777" w:rsidR="00D37B1D" w:rsidRPr="00596B06" w:rsidRDefault="00D37B1D" w:rsidP="00D37B1D">
      <w:pPr>
        <w:pStyle w:val="CMT"/>
        <w:contextualSpacing/>
        <w:jc w:val="left"/>
        <w:rPr>
          <w:rFonts w:ascii="Helvetica" w:hAnsi="Helvetica"/>
          <w:color w:val="auto"/>
          <w:sz w:val="20"/>
        </w:rPr>
      </w:pPr>
    </w:p>
    <w:p w14:paraId="71079ED2" w14:textId="77777777" w:rsidR="00D37B1D" w:rsidRPr="005305C7" w:rsidRDefault="00D37B1D" w:rsidP="00D37B1D">
      <w:pPr>
        <w:pStyle w:val="CMT"/>
        <w:contextualSpacing/>
        <w:jc w:val="left"/>
        <w:rPr>
          <w:rFonts w:ascii="Helvetica" w:hAnsi="Helvetica"/>
          <w:color w:val="auto"/>
          <w:sz w:val="20"/>
        </w:rPr>
      </w:pPr>
      <w:r>
        <w:rPr>
          <w:rFonts w:ascii="Helvetica" w:hAnsi="Helvetica"/>
          <w:color w:val="auto"/>
          <w:sz w:val="20"/>
        </w:rPr>
        <w:t>3.7</w:t>
      </w:r>
      <w:r>
        <w:rPr>
          <w:rFonts w:ascii="Helvetica" w:hAnsi="Helvetica"/>
          <w:color w:val="auto"/>
          <w:sz w:val="20"/>
        </w:rPr>
        <w:tab/>
        <w:t>NETTOYAGE</w:t>
      </w:r>
    </w:p>
    <w:p w14:paraId="4C64DAAB" w14:textId="77777777" w:rsidR="00D37B1D" w:rsidRPr="00596B06" w:rsidRDefault="00D37B1D" w:rsidP="00D37B1D">
      <w:pPr>
        <w:pStyle w:val="CMT"/>
        <w:ind w:firstLine="720"/>
        <w:contextualSpacing/>
        <w:jc w:val="left"/>
        <w:rPr>
          <w:rFonts w:ascii="Helvetica" w:hAnsi="Helvetica"/>
          <w:color w:val="auto"/>
          <w:sz w:val="20"/>
        </w:rPr>
      </w:pPr>
    </w:p>
    <w:p w14:paraId="510C99F2" w14:textId="3CE9C4A4" w:rsidR="00C87AD4" w:rsidRPr="003A01D9" w:rsidRDefault="000F0D1C" w:rsidP="000F0D1C">
      <w:pPr>
        <w:ind w:firstLine="720"/>
      </w:pPr>
      <w:r>
        <w:rPr>
          <w:rFonts w:ascii="Helvetica" w:hAnsi="Helvetica"/>
          <w:sz w:val="20"/>
        </w:rPr>
        <w:t xml:space="preserve">A.  </w:t>
      </w:r>
      <w:r w:rsidR="00D37B1D">
        <w:rPr>
          <w:rFonts w:ascii="Helvetica" w:hAnsi="Helvetica"/>
          <w:sz w:val="20"/>
        </w:rPr>
        <w:t>Nettoyer les outils et le malaxeur avec de l'eau et du savon.</w:t>
      </w:r>
    </w:p>
    <w:sectPr w:rsidR="00C87AD4" w:rsidRPr="003A01D9" w:rsidSect="00E9524D">
      <w:headerReference w:type="default" r:id="rId10"/>
      <w:footerReference w:type="default" r:id="rId11"/>
      <w:headerReference w:type="first" r:id="rId12"/>
      <w:footerReference w:type="first" r:id="rId13"/>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472B9" w14:textId="77777777" w:rsidR="00FD2125" w:rsidRDefault="00FD2125" w:rsidP="009D4E90">
      <w:r>
        <w:separator/>
      </w:r>
    </w:p>
  </w:endnote>
  <w:endnote w:type="continuationSeparator" w:id="0">
    <w:p w14:paraId="14D8926A" w14:textId="77777777" w:rsidR="00FD2125" w:rsidRDefault="00FD2125" w:rsidP="009D4E90">
      <w:r>
        <w:continuationSeparator/>
      </w:r>
    </w:p>
  </w:endnote>
  <w:endnote w:type="continuationNotice" w:id="1">
    <w:p w14:paraId="6511067E" w14:textId="77777777" w:rsidR="00FD2125" w:rsidRDefault="00FD2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1000204A" w:usb2="00000000" w:usb3="00000000" w:csb0="0000001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037F" w14:textId="15D76A2A" w:rsidR="00396496" w:rsidRDefault="00FD2125" w:rsidP="00CA2CA5">
    <w:pPr>
      <w:pStyle w:val="Footer"/>
      <w:ind w:firstLine="432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C143EB">
          <w:rPr>
            <w:noProof/>
          </w:rPr>
          <w:t>4</w:t>
        </w:r>
        <w:r w:rsidR="00396496">
          <w:rPr>
            <w:noProof/>
          </w:rPr>
          <w:fldChar w:fldCharType="end"/>
        </w:r>
        <w:r w:rsidR="001F1DA2">
          <w:tab/>
        </w:r>
        <w:r w:rsidR="001F1DA2">
          <w:tab/>
        </w:r>
        <w:r w:rsidR="004764C3">
          <w:t>DÉCEMBRE 20</w:t>
        </w:r>
        <w:r w:rsidR="00A37F73">
          <w:t>16</w:t>
        </w:r>
      </w:sdtContent>
    </w:sdt>
  </w:p>
  <w:p w14:paraId="71A1F1DB" w14:textId="77777777" w:rsidR="009D4E90" w:rsidRDefault="009D4E90" w:rsidP="003A01D9">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79670"/>
      <w:docPartObj>
        <w:docPartGallery w:val="Page Numbers (Bottom of Page)"/>
        <w:docPartUnique/>
      </w:docPartObj>
    </w:sdtPr>
    <w:sdtEndPr>
      <w:rPr>
        <w:noProof/>
      </w:rPr>
    </w:sdtEndPr>
    <w:sdtContent>
      <w:p w14:paraId="15968682" w14:textId="74ABC134" w:rsidR="00CA2CA5" w:rsidRDefault="00CA2CA5" w:rsidP="00CA2CA5">
        <w:pPr>
          <w:pStyle w:val="Footer"/>
          <w:ind w:firstLine="4320"/>
        </w:pPr>
        <w:r>
          <w:fldChar w:fldCharType="begin"/>
        </w:r>
        <w:r>
          <w:instrText xml:space="preserve"> PAGE   \* MERGEFORMAT </w:instrText>
        </w:r>
        <w:r>
          <w:fldChar w:fldCharType="separate"/>
        </w:r>
        <w:r w:rsidR="00633059">
          <w:rPr>
            <w:noProof/>
          </w:rPr>
          <w:t>1</w:t>
        </w:r>
        <w:r>
          <w:rPr>
            <w:noProof/>
          </w:rPr>
          <w:fldChar w:fldCharType="end"/>
        </w:r>
        <w:r>
          <w:tab/>
        </w:r>
        <w:r>
          <w:tab/>
        </w:r>
        <w:r w:rsidR="004764C3">
          <w:t>DÉCEMBRE</w:t>
        </w:r>
        <w:r>
          <w:t> 201</w:t>
        </w:r>
        <w:r w:rsidR="00A37F73">
          <w:t>6</w:t>
        </w:r>
      </w:p>
    </w:sdtContent>
  </w:sdt>
  <w:p w14:paraId="4AB2F26E" w14:textId="77777777" w:rsidR="00620FB3" w:rsidRDefault="00620FB3" w:rsidP="003A01D9">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1EEE3" w14:textId="77777777" w:rsidR="00FD2125" w:rsidRDefault="00FD2125" w:rsidP="009D4E90">
      <w:r>
        <w:separator/>
      </w:r>
    </w:p>
  </w:footnote>
  <w:footnote w:type="continuationSeparator" w:id="0">
    <w:p w14:paraId="36EFEC08" w14:textId="77777777" w:rsidR="00FD2125" w:rsidRDefault="00FD2125" w:rsidP="009D4E90">
      <w:r>
        <w:continuationSeparator/>
      </w:r>
    </w:p>
  </w:footnote>
  <w:footnote w:type="continuationNotice" w:id="1">
    <w:p w14:paraId="5A2FB582" w14:textId="77777777" w:rsidR="00FD2125" w:rsidRDefault="00FD21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9E91F" w14:textId="77777777" w:rsidR="00560FB2" w:rsidRPr="003A01D9" w:rsidRDefault="00560FB2" w:rsidP="003A01D9">
    <w:pPr>
      <w:pStyle w:val="Header"/>
      <w:tabs>
        <w:tab w:val="clear" w:pos="9360"/>
        <w:tab w:val="right" w:pos="10800"/>
      </w:tabs>
      <w:ind w:left="-1440"/>
      <w:jc w:val="center"/>
    </w:pPr>
  </w:p>
  <w:p w14:paraId="03012813" w14:textId="77777777" w:rsidR="009D4E90" w:rsidRPr="003A01D9" w:rsidRDefault="005A2113" w:rsidP="003A01D9">
    <w:pPr>
      <w:pStyle w:val="Header"/>
      <w:tabs>
        <w:tab w:val="clear" w:pos="9360"/>
        <w:tab w:val="right" w:pos="10800"/>
      </w:tabs>
      <w:ind w:left="-1440"/>
      <w:jc w:val="center"/>
    </w:pPr>
    <w:r>
      <w:rPr>
        <w:noProof/>
        <w:lang w:val="en-CA" w:eastAsia="en-CA" w:bidi="ar-SA"/>
      </w:rPr>
      <w:drawing>
        <wp:anchor distT="0" distB="0" distL="114300" distR="114300" simplePos="0" relativeHeight="251657216" behindDoc="1" locked="0" layoutInCell="1" allowOverlap="1" wp14:anchorId="1CE705EC" wp14:editId="416AB002">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64FA0" w14:textId="1AEEFDEC" w:rsidR="00560FB2" w:rsidRDefault="00EE7886">
    <w:pPr>
      <w:pStyle w:val="Header"/>
    </w:pPr>
    <w:r>
      <w:rPr>
        <w:noProof/>
        <w:lang w:val="en-CA" w:eastAsia="en-CA" w:bidi="ar-SA"/>
      </w:rPr>
      <w:drawing>
        <wp:anchor distT="0" distB="0" distL="114300" distR="114300" simplePos="0" relativeHeight="251658240" behindDoc="0" locked="0" layoutInCell="1" allowOverlap="1" wp14:anchorId="5D8FF809" wp14:editId="772B5F09">
          <wp:simplePos x="0" y="0"/>
          <wp:positionH relativeFrom="column">
            <wp:posOffset>0</wp:posOffset>
          </wp:positionH>
          <wp:positionV relativeFrom="paragraph">
            <wp:posOffset>153670</wp:posOffset>
          </wp:positionV>
          <wp:extent cx="7761605" cy="1054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 Euclid Can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1605"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5C44FA0"/>
    <w:multiLevelType w:val="hybridMultilevel"/>
    <w:tmpl w:val="E550E5A4"/>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AF729D"/>
    <w:multiLevelType w:val="hybridMultilevel"/>
    <w:tmpl w:val="6EBA6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4C32EAE"/>
    <w:multiLevelType w:val="hybridMultilevel"/>
    <w:tmpl w:val="9DF441B0"/>
    <w:lvl w:ilvl="0" w:tplc="F7C4CA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1359F6"/>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687E1D"/>
    <w:multiLevelType w:val="hybridMultilevel"/>
    <w:tmpl w:val="88B634AE"/>
    <w:lvl w:ilvl="0" w:tplc="F7C4C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DF3E72"/>
    <w:multiLevelType w:val="multilevel"/>
    <w:tmpl w:val="5E1853BE"/>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720"/>
        </w:tabs>
        <w:ind w:left="720" w:hanging="518"/>
      </w:pPr>
      <w:rPr>
        <w:rFonts w:ascii="Times New Roman" w:hAnsi="Times New Roman" w:hint="default"/>
        <w:strike w:val="0"/>
        <w:sz w:val="24"/>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3">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36FC1709"/>
    <w:multiLevelType w:val="hybridMultilevel"/>
    <w:tmpl w:val="88B634A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A170D7"/>
    <w:multiLevelType w:val="hybridMultilevel"/>
    <w:tmpl w:val="500C3FB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4">
    <w:nsid w:val="74F528C5"/>
    <w:multiLevelType w:val="hybridMultilevel"/>
    <w:tmpl w:val="80E4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5D77796"/>
    <w:multiLevelType w:val="hybridMultilevel"/>
    <w:tmpl w:val="2DAC92C8"/>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5"/>
  </w:num>
  <w:num w:numId="2">
    <w:abstractNumId w:val="17"/>
  </w:num>
  <w:num w:numId="3">
    <w:abstractNumId w:val="0"/>
  </w:num>
  <w:num w:numId="4">
    <w:abstractNumId w:val="10"/>
  </w:num>
  <w:num w:numId="5">
    <w:abstractNumId w:val="5"/>
  </w:num>
  <w:num w:numId="6">
    <w:abstractNumId w:val="22"/>
  </w:num>
  <w:num w:numId="7">
    <w:abstractNumId w:val="11"/>
  </w:num>
  <w:num w:numId="8">
    <w:abstractNumId w:val="6"/>
  </w:num>
  <w:num w:numId="9">
    <w:abstractNumId w:val="4"/>
  </w:num>
  <w:num w:numId="10">
    <w:abstractNumId w:val="3"/>
  </w:num>
  <w:num w:numId="11">
    <w:abstractNumId w:val="19"/>
  </w:num>
  <w:num w:numId="12">
    <w:abstractNumId w:val="26"/>
  </w:num>
  <w:num w:numId="13">
    <w:abstractNumId w:val="21"/>
  </w:num>
  <w:num w:numId="14">
    <w:abstractNumId w:val="8"/>
  </w:num>
  <w:num w:numId="15">
    <w:abstractNumId w:val="2"/>
  </w:num>
  <w:num w:numId="16">
    <w:abstractNumId w:val="9"/>
  </w:num>
  <w:num w:numId="17">
    <w:abstractNumId w:val="23"/>
  </w:num>
  <w:num w:numId="18">
    <w:abstractNumId w:val="20"/>
  </w:num>
  <w:num w:numId="19">
    <w:abstractNumId w:val="13"/>
  </w:num>
  <w:num w:numId="20">
    <w:abstractNumId w:val="12"/>
  </w:num>
  <w:num w:numId="21">
    <w:abstractNumId w:val="14"/>
  </w:num>
  <w:num w:numId="22">
    <w:abstractNumId w:val="18"/>
  </w:num>
  <w:num w:numId="23">
    <w:abstractNumId w:val="24"/>
  </w:num>
  <w:num w:numId="24">
    <w:abstractNumId w:val="25"/>
  </w:num>
  <w:num w:numId="25">
    <w:abstractNumId w:val="16"/>
  </w:num>
  <w:num w:numId="26">
    <w:abstractNumId w:val="7"/>
  </w:num>
  <w:num w:numId="27">
    <w:abstractNumId w:val="1"/>
  </w:num>
  <w:num w:numId="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88"/>
    <w:rsid w:val="0000081A"/>
    <w:rsid w:val="00003A6D"/>
    <w:rsid w:val="00012095"/>
    <w:rsid w:val="00012104"/>
    <w:rsid w:val="0002125B"/>
    <w:rsid w:val="000332FD"/>
    <w:rsid w:val="000344EC"/>
    <w:rsid w:val="00040045"/>
    <w:rsid w:val="00044A2F"/>
    <w:rsid w:val="0004582E"/>
    <w:rsid w:val="00060AE9"/>
    <w:rsid w:val="000646EE"/>
    <w:rsid w:val="00074BFF"/>
    <w:rsid w:val="00091FEE"/>
    <w:rsid w:val="00096472"/>
    <w:rsid w:val="00097BE8"/>
    <w:rsid w:val="000A4219"/>
    <w:rsid w:val="000B09F5"/>
    <w:rsid w:val="000B2178"/>
    <w:rsid w:val="000C2924"/>
    <w:rsid w:val="000D3E8E"/>
    <w:rsid w:val="000F0D1C"/>
    <w:rsid w:val="0010539E"/>
    <w:rsid w:val="00105836"/>
    <w:rsid w:val="001059C5"/>
    <w:rsid w:val="00107FBD"/>
    <w:rsid w:val="00135925"/>
    <w:rsid w:val="00142DB6"/>
    <w:rsid w:val="00166075"/>
    <w:rsid w:val="00175950"/>
    <w:rsid w:val="001759DF"/>
    <w:rsid w:val="00175AD4"/>
    <w:rsid w:val="00193F92"/>
    <w:rsid w:val="001A404A"/>
    <w:rsid w:val="001C61EF"/>
    <w:rsid w:val="001C6E84"/>
    <w:rsid w:val="001D4AA7"/>
    <w:rsid w:val="001D5CA3"/>
    <w:rsid w:val="001E0503"/>
    <w:rsid w:val="001E2CD7"/>
    <w:rsid w:val="001E49E6"/>
    <w:rsid w:val="001F1DA2"/>
    <w:rsid w:val="001F34CC"/>
    <w:rsid w:val="00206E10"/>
    <w:rsid w:val="00214D3D"/>
    <w:rsid w:val="0025198A"/>
    <w:rsid w:val="00264B23"/>
    <w:rsid w:val="00267DDC"/>
    <w:rsid w:val="00274B03"/>
    <w:rsid w:val="002766BC"/>
    <w:rsid w:val="00282CCD"/>
    <w:rsid w:val="00284175"/>
    <w:rsid w:val="0029048B"/>
    <w:rsid w:val="002D64B0"/>
    <w:rsid w:val="002E3780"/>
    <w:rsid w:val="002E6938"/>
    <w:rsid w:val="002F31E7"/>
    <w:rsid w:val="002F599D"/>
    <w:rsid w:val="003000DF"/>
    <w:rsid w:val="003169C1"/>
    <w:rsid w:val="00320A9C"/>
    <w:rsid w:val="003319C1"/>
    <w:rsid w:val="003538D2"/>
    <w:rsid w:val="00355F01"/>
    <w:rsid w:val="0036417C"/>
    <w:rsid w:val="00380F81"/>
    <w:rsid w:val="003943FF"/>
    <w:rsid w:val="00396496"/>
    <w:rsid w:val="0039711C"/>
    <w:rsid w:val="003A01D9"/>
    <w:rsid w:val="003A1726"/>
    <w:rsid w:val="003C5536"/>
    <w:rsid w:val="003D0CB8"/>
    <w:rsid w:val="003E7EDE"/>
    <w:rsid w:val="003F5490"/>
    <w:rsid w:val="003F7BFA"/>
    <w:rsid w:val="00413572"/>
    <w:rsid w:val="00443692"/>
    <w:rsid w:val="00452A3D"/>
    <w:rsid w:val="0047018A"/>
    <w:rsid w:val="004764C3"/>
    <w:rsid w:val="004A1BAC"/>
    <w:rsid w:val="004A345B"/>
    <w:rsid w:val="004C1004"/>
    <w:rsid w:val="004C2992"/>
    <w:rsid w:val="004E3C3E"/>
    <w:rsid w:val="004E6C26"/>
    <w:rsid w:val="004E71A4"/>
    <w:rsid w:val="004F4464"/>
    <w:rsid w:val="00504563"/>
    <w:rsid w:val="00511C65"/>
    <w:rsid w:val="00513B58"/>
    <w:rsid w:val="00527300"/>
    <w:rsid w:val="00532A39"/>
    <w:rsid w:val="005465DD"/>
    <w:rsid w:val="0055387C"/>
    <w:rsid w:val="0055413F"/>
    <w:rsid w:val="005601F3"/>
    <w:rsid w:val="00560FB2"/>
    <w:rsid w:val="00576ED8"/>
    <w:rsid w:val="00595FA1"/>
    <w:rsid w:val="00596B06"/>
    <w:rsid w:val="005A2113"/>
    <w:rsid w:val="005A5116"/>
    <w:rsid w:val="005A5C99"/>
    <w:rsid w:val="005B3895"/>
    <w:rsid w:val="005B5A34"/>
    <w:rsid w:val="005D16CB"/>
    <w:rsid w:val="005D2246"/>
    <w:rsid w:val="005D39DF"/>
    <w:rsid w:val="005D6DAA"/>
    <w:rsid w:val="005E6160"/>
    <w:rsid w:val="005F4C54"/>
    <w:rsid w:val="00620FB3"/>
    <w:rsid w:val="00633059"/>
    <w:rsid w:val="00642A21"/>
    <w:rsid w:val="006462C2"/>
    <w:rsid w:val="00671E12"/>
    <w:rsid w:val="00672940"/>
    <w:rsid w:val="0067294F"/>
    <w:rsid w:val="0068139C"/>
    <w:rsid w:val="006C4DE2"/>
    <w:rsid w:val="006E22F1"/>
    <w:rsid w:val="006E4288"/>
    <w:rsid w:val="00703770"/>
    <w:rsid w:val="00703BA6"/>
    <w:rsid w:val="0072544D"/>
    <w:rsid w:val="007411DF"/>
    <w:rsid w:val="0074760D"/>
    <w:rsid w:val="00750559"/>
    <w:rsid w:val="00755167"/>
    <w:rsid w:val="00757DD0"/>
    <w:rsid w:val="007763FA"/>
    <w:rsid w:val="007A5A56"/>
    <w:rsid w:val="007D10A9"/>
    <w:rsid w:val="007D2AAA"/>
    <w:rsid w:val="00803A92"/>
    <w:rsid w:val="00807AEB"/>
    <w:rsid w:val="00840015"/>
    <w:rsid w:val="00855D46"/>
    <w:rsid w:val="00861E93"/>
    <w:rsid w:val="00884941"/>
    <w:rsid w:val="008A3149"/>
    <w:rsid w:val="008B186B"/>
    <w:rsid w:val="008C5123"/>
    <w:rsid w:val="008C7CE8"/>
    <w:rsid w:val="008D24DB"/>
    <w:rsid w:val="008D2EB2"/>
    <w:rsid w:val="008D6B2B"/>
    <w:rsid w:val="008D6EC0"/>
    <w:rsid w:val="008E77EE"/>
    <w:rsid w:val="008F43EB"/>
    <w:rsid w:val="00901F2B"/>
    <w:rsid w:val="00903173"/>
    <w:rsid w:val="009134B7"/>
    <w:rsid w:val="00930689"/>
    <w:rsid w:val="00953C43"/>
    <w:rsid w:val="00955A7A"/>
    <w:rsid w:val="0095707B"/>
    <w:rsid w:val="00963A6D"/>
    <w:rsid w:val="009946CE"/>
    <w:rsid w:val="009A2FB7"/>
    <w:rsid w:val="009C2364"/>
    <w:rsid w:val="009D1A4C"/>
    <w:rsid w:val="009D4E90"/>
    <w:rsid w:val="009D6F43"/>
    <w:rsid w:val="009D7F81"/>
    <w:rsid w:val="009E70C0"/>
    <w:rsid w:val="009F3857"/>
    <w:rsid w:val="00A1221D"/>
    <w:rsid w:val="00A131E4"/>
    <w:rsid w:val="00A35E4A"/>
    <w:rsid w:val="00A37F73"/>
    <w:rsid w:val="00A41FA2"/>
    <w:rsid w:val="00A70449"/>
    <w:rsid w:val="00A7329A"/>
    <w:rsid w:val="00A90D4D"/>
    <w:rsid w:val="00A96DA9"/>
    <w:rsid w:val="00AC2D20"/>
    <w:rsid w:val="00AD2988"/>
    <w:rsid w:val="00AD3FA4"/>
    <w:rsid w:val="00AE2032"/>
    <w:rsid w:val="00AE6310"/>
    <w:rsid w:val="00AF3CBF"/>
    <w:rsid w:val="00B02B6E"/>
    <w:rsid w:val="00B2663A"/>
    <w:rsid w:val="00B36F4D"/>
    <w:rsid w:val="00B40D67"/>
    <w:rsid w:val="00B525B9"/>
    <w:rsid w:val="00B535B4"/>
    <w:rsid w:val="00B56496"/>
    <w:rsid w:val="00B606DB"/>
    <w:rsid w:val="00B61909"/>
    <w:rsid w:val="00B827A5"/>
    <w:rsid w:val="00B95DD1"/>
    <w:rsid w:val="00BA2FED"/>
    <w:rsid w:val="00BA52E6"/>
    <w:rsid w:val="00BA53E2"/>
    <w:rsid w:val="00BA587A"/>
    <w:rsid w:val="00BA6550"/>
    <w:rsid w:val="00BC4988"/>
    <w:rsid w:val="00BD3EEF"/>
    <w:rsid w:val="00BF041E"/>
    <w:rsid w:val="00BF6AB0"/>
    <w:rsid w:val="00BF6EC0"/>
    <w:rsid w:val="00C05F98"/>
    <w:rsid w:val="00C12A8B"/>
    <w:rsid w:val="00C143EB"/>
    <w:rsid w:val="00C156A0"/>
    <w:rsid w:val="00C1629D"/>
    <w:rsid w:val="00C260E5"/>
    <w:rsid w:val="00C32A28"/>
    <w:rsid w:val="00C5756A"/>
    <w:rsid w:val="00C61C73"/>
    <w:rsid w:val="00C77556"/>
    <w:rsid w:val="00C87AD4"/>
    <w:rsid w:val="00CA2CA5"/>
    <w:rsid w:val="00CA7FCF"/>
    <w:rsid w:val="00CB314C"/>
    <w:rsid w:val="00CB6A08"/>
    <w:rsid w:val="00CC4E1A"/>
    <w:rsid w:val="00CD3E8A"/>
    <w:rsid w:val="00CD551D"/>
    <w:rsid w:val="00CD78FE"/>
    <w:rsid w:val="00D008C6"/>
    <w:rsid w:val="00D00B18"/>
    <w:rsid w:val="00D37B1D"/>
    <w:rsid w:val="00D566F8"/>
    <w:rsid w:val="00D67989"/>
    <w:rsid w:val="00D74A84"/>
    <w:rsid w:val="00D75174"/>
    <w:rsid w:val="00D808D9"/>
    <w:rsid w:val="00D81FED"/>
    <w:rsid w:val="00DB01D0"/>
    <w:rsid w:val="00DC1BBF"/>
    <w:rsid w:val="00DD58E0"/>
    <w:rsid w:val="00E10DAA"/>
    <w:rsid w:val="00E113C9"/>
    <w:rsid w:val="00E251FB"/>
    <w:rsid w:val="00E31B8D"/>
    <w:rsid w:val="00E323FD"/>
    <w:rsid w:val="00E50DF0"/>
    <w:rsid w:val="00E620CB"/>
    <w:rsid w:val="00E6247B"/>
    <w:rsid w:val="00E66B02"/>
    <w:rsid w:val="00E713F8"/>
    <w:rsid w:val="00E76523"/>
    <w:rsid w:val="00E765B1"/>
    <w:rsid w:val="00E77794"/>
    <w:rsid w:val="00E87799"/>
    <w:rsid w:val="00E9524D"/>
    <w:rsid w:val="00E97826"/>
    <w:rsid w:val="00EA13AA"/>
    <w:rsid w:val="00EE23CA"/>
    <w:rsid w:val="00EE7886"/>
    <w:rsid w:val="00EF4914"/>
    <w:rsid w:val="00EF6430"/>
    <w:rsid w:val="00F163CE"/>
    <w:rsid w:val="00F324C2"/>
    <w:rsid w:val="00F61B32"/>
    <w:rsid w:val="00F85646"/>
    <w:rsid w:val="00FA037B"/>
    <w:rsid w:val="00FB3405"/>
    <w:rsid w:val="00FC560C"/>
    <w:rsid w:val="00FD2125"/>
    <w:rsid w:val="00FE0CFF"/>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8381"/>
  <w15:docId w15:val="{C7F20A3A-4EFE-44AD-962C-59267732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fr-CA" w:eastAsia="fr-CA" w:bidi="fr-C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4D"/>
    <w:rPr>
      <w:rFonts w:ascii="Arial" w:eastAsia="Times New Roman" w:hAnsi="Arial" w:cs="Times New Roman"/>
      <w:sz w:val="24"/>
      <w:szCs w:val="20"/>
    </w:rPr>
  </w:style>
  <w:style w:type="paragraph" w:styleId="Heading1">
    <w:name w:val="heading 1"/>
    <w:basedOn w:val="Normal"/>
    <w:next w:val="Normal"/>
    <w:link w:val="Heading1Char"/>
    <w:qFormat/>
    <w:rsid w:val="00E9524D"/>
    <w:pPr>
      <w:keepNext/>
      <w:spacing w:before="240" w:after="60"/>
      <w:outlineLvl w:val="0"/>
    </w:pPr>
    <w:rPr>
      <w:rFonts w:ascii="Helvetica" w:hAnsi="Helvetica"/>
      <w:b/>
      <w:kern w:val="32"/>
      <w:sz w:val="32"/>
      <w:szCs w:val="24"/>
    </w:rPr>
  </w:style>
  <w:style w:type="paragraph" w:styleId="Heading2">
    <w:name w:val="heading 2"/>
    <w:basedOn w:val="Normal"/>
    <w:next w:val="Normal"/>
    <w:link w:val="Heading2Char"/>
    <w:qFormat/>
    <w:rsid w:val="00E9524D"/>
    <w:pPr>
      <w:keepNext/>
      <w:ind w:left="-900"/>
      <w:outlineLvl w:val="1"/>
    </w:pPr>
    <w:rPr>
      <w:rFonts w:ascii="HelveticaNeue" w:hAnsi="HelveticaNeu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nhideWhenUsed/>
    <w:rsid w:val="00E9524D"/>
    <w:rPr>
      <w:rFonts w:ascii="Tahoma" w:eastAsiaTheme="minorHAnsi" w:hAnsi="Tahoma" w:cs="Tahoma"/>
      <w:sz w:val="16"/>
      <w:szCs w:val="16"/>
    </w:rPr>
  </w:style>
  <w:style w:type="character" w:customStyle="1" w:styleId="BalloonTextChar">
    <w:name w:val="Balloon Text Char"/>
    <w:basedOn w:val="DefaultParagraphFont"/>
    <w:link w:val="BalloonText"/>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rsid w:val="00E9524D"/>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rsid w:val="00E9524D"/>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rsid w:val="00E9524D"/>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rsid w:val="00E9524D"/>
    <w:pPr>
      <w:numPr>
        <w:ilvl w:val="5"/>
        <w:numId w:val="3"/>
      </w:numPr>
      <w:suppressAutoHyphens/>
      <w:jc w:val="both"/>
      <w:outlineLvl w:val="3"/>
    </w:pPr>
    <w:rPr>
      <w:rFonts w:ascii="Times New Roman" w:hAnsi="Times New Roman"/>
      <w:sz w:val="22"/>
    </w:rPr>
  </w:style>
  <w:style w:type="paragraph" w:customStyle="1" w:styleId="PR3">
    <w:name w:val="PR3"/>
    <w:basedOn w:val="Normal"/>
    <w:rsid w:val="00E9524D"/>
    <w:pPr>
      <w:numPr>
        <w:ilvl w:val="6"/>
        <w:numId w:val="3"/>
      </w:numPr>
      <w:suppressAutoHyphens/>
      <w:jc w:val="both"/>
      <w:outlineLvl w:val="4"/>
    </w:pPr>
    <w:rPr>
      <w:rFonts w:ascii="Times New Roman" w:hAnsi="Times New Roman"/>
      <w:sz w:val="22"/>
    </w:rPr>
  </w:style>
  <w:style w:type="paragraph" w:customStyle="1" w:styleId="PR4">
    <w:name w:val="PR4"/>
    <w:basedOn w:val="Normal"/>
    <w:rsid w:val="00E9524D"/>
    <w:pPr>
      <w:numPr>
        <w:ilvl w:val="7"/>
        <w:numId w:val="3"/>
      </w:numPr>
      <w:suppressAutoHyphens/>
      <w:jc w:val="both"/>
      <w:outlineLvl w:val="5"/>
    </w:pPr>
    <w:rPr>
      <w:rFonts w:ascii="Times New Roman" w:hAnsi="Times New Roman"/>
      <w:sz w:val="22"/>
    </w:rPr>
  </w:style>
  <w:style w:type="paragraph" w:customStyle="1" w:styleId="PR5">
    <w:name w:val="PR5"/>
    <w:basedOn w:val="Normal"/>
    <w:rsid w:val="00E9524D"/>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fr-CA" w:eastAsia="fr-CA"/>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locked/>
    <w:rsid w:val="00C32A28"/>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E9524D"/>
    <w:rPr>
      <w:rFonts w:ascii="Helvetica" w:eastAsia="Times New Roman" w:hAnsi="Helvetica" w:cs="Times New Roman"/>
      <w:b/>
      <w:kern w:val="32"/>
      <w:sz w:val="32"/>
      <w:szCs w:val="24"/>
    </w:rPr>
  </w:style>
  <w:style w:type="character" w:customStyle="1" w:styleId="Heading2Char">
    <w:name w:val="Heading 2 Char"/>
    <w:basedOn w:val="DefaultParagraphFont"/>
    <w:link w:val="Heading2"/>
    <w:rsid w:val="00E9524D"/>
    <w:rPr>
      <w:rFonts w:ascii="HelveticaNeue" w:eastAsia="Times New Roman" w:hAnsi="HelveticaNeue" w:cs="Times New Roman"/>
      <w:sz w:val="28"/>
      <w:szCs w:val="24"/>
    </w:rPr>
  </w:style>
  <w:style w:type="paragraph" w:customStyle="1" w:styleId="NormalParagraphStyle">
    <w:name w:val="NormalParagraphStyle"/>
    <w:basedOn w:val="Normal"/>
    <w:rsid w:val="00E9524D"/>
    <w:pPr>
      <w:widowControl w:val="0"/>
      <w:autoSpaceDE w:val="0"/>
      <w:autoSpaceDN w:val="0"/>
      <w:adjustRightInd w:val="0"/>
      <w:spacing w:line="288" w:lineRule="auto"/>
      <w:textAlignment w:val="center"/>
    </w:pPr>
    <w:rPr>
      <w:rFonts w:ascii="Times-Roman" w:hAnsi="Times-Roman"/>
      <w:color w:val="000000"/>
      <w:szCs w:val="24"/>
    </w:rPr>
  </w:style>
  <w:style w:type="paragraph" w:styleId="DocumentMap">
    <w:name w:val="Document Map"/>
    <w:basedOn w:val="Normal"/>
    <w:link w:val="DocumentMapChar"/>
    <w:semiHidden/>
    <w:rsid w:val="00E9524D"/>
    <w:pPr>
      <w:shd w:val="clear" w:color="auto" w:fill="000080"/>
    </w:pPr>
    <w:rPr>
      <w:rFonts w:ascii="Helvetica" w:eastAsia="MS Gothic" w:hAnsi="Helvetica"/>
      <w:szCs w:val="24"/>
    </w:rPr>
  </w:style>
  <w:style w:type="character" w:customStyle="1" w:styleId="DocumentMapChar">
    <w:name w:val="Document Map Char"/>
    <w:basedOn w:val="DefaultParagraphFont"/>
    <w:link w:val="DocumentMap"/>
    <w:semiHidden/>
    <w:rsid w:val="00E9524D"/>
    <w:rPr>
      <w:rFonts w:ascii="Helvetica" w:eastAsia="MS Gothic" w:hAnsi="Helvetica" w:cs="Times New Roman"/>
      <w:sz w:val="24"/>
      <w:szCs w:val="24"/>
      <w:shd w:val="clear" w:color="auto" w:fill="000080"/>
    </w:rPr>
  </w:style>
  <w:style w:type="paragraph" w:styleId="BodyText">
    <w:name w:val="Body Text"/>
    <w:basedOn w:val="Normal"/>
    <w:link w:val="BodyTextChar"/>
    <w:rsid w:val="00E9524D"/>
    <w:pPr>
      <w:widowControl w:val="0"/>
      <w:jc w:val="both"/>
    </w:pPr>
    <w:rPr>
      <w:rFonts w:ascii="Century" w:hAnsi="Century"/>
      <w:snapToGrid w:val="0"/>
      <w:szCs w:val="24"/>
    </w:rPr>
  </w:style>
  <w:style w:type="character" w:customStyle="1" w:styleId="BodyTextChar">
    <w:name w:val="Body Text Char"/>
    <w:basedOn w:val="DefaultParagraphFont"/>
    <w:link w:val="BodyText"/>
    <w:rsid w:val="00E9524D"/>
    <w:rPr>
      <w:rFonts w:ascii="Century" w:eastAsia="Times New Roman" w:hAnsi="Century" w:cs="Times New Roman"/>
      <w:snapToGrid w:val="0"/>
      <w:sz w:val="24"/>
      <w:szCs w:val="24"/>
    </w:rPr>
  </w:style>
  <w:style w:type="paragraph" w:styleId="ListParagraph">
    <w:name w:val="List Paragraph"/>
    <w:basedOn w:val="Normal"/>
    <w:uiPriority w:val="34"/>
    <w:qFormat/>
    <w:rsid w:val="00E9524D"/>
    <w:pPr>
      <w:ind w:left="720"/>
      <w:contextualSpacing/>
    </w:pPr>
    <w:rPr>
      <w:rFonts w:ascii="Times New Roman" w:hAnsi="Times New Roman"/>
      <w:szCs w:val="24"/>
    </w:rPr>
  </w:style>
  <w:style w:type="paragraph" w:customStyle="1" w:styleId="Default">
    <w:name w:val="Default"/>
    <w:rsid w:val="00E9524D"/>
    <w:pPr>
      <w:autoSpaceDE w:val="0"/>
      <w:autoSpaceDN w:val="0"/>
      <w:adjustRightInd w:val="0"/>
    </w:pPr>
    <w:rPr>
      <w:rFonts w:ascii="Swis721 BT" w:eastAsia="Times New Roman" w:hAnsi="Swis721 BT" w:cs="Swis721 BT"/>
      <w:color w:val="000000"/>
      <w:sz w:val="24"/>
      <w:szCs w:val="24"/>
    </w:rPr>
  </w:style>
  <w:style w:type="character" w:styleId="PageNumber">
    <w:name w:val="page number"/>
    <w:basedOn w:val="DefaultParagraphFont"/>
    <w:rsid w:val="00E9524D"/>
  </w:style>
  <w:style w:type="paragraph" w:customStyle="1" w:styleId="Level1">
    <w:name w:val="Level 1"/>
    <w:basedOn w:val="Normal"/>
    <w:rsid w:val="00E9524D"/>
    <w:pPr>
      <w:numPr>
        <w:numId w:val="20"/>
      </w:numPr>
    </w:pPr>
    <w:rPr>
      <w:rFonts w:ascii="Times New Roman" w:hAnsi="Times New Roman"/>
      <w:sz w:val="20"/>
    </w:rPr>
  </w:style>
  <w:style w:type="paragraph" w:customStyle="1" w:styleId="Level2">
    <w:name w:val="Level 2"/>
    <w:basedOn w:val="Normal"/>
    <w:rsid w:val="00E9524D"/>
    <w:pPr>
      <w:numPr>
        <w:ilvl w:val="1"/>
        <w:numId w:val="20"/>
      </w:numPr>
    </w:pPr>
    <w:rPr>
      <w:rFonts w:ascii="Times New Roman" w:hAnsi="Times New Roman"/>
      <w:sz w:val="20"/>
    </w:rPr>
  </w:style>
  <w:style w:type="paragraph" w:customStyle="1" w:styleId="Level3">
    <w:name w:val="Level 3"/>
    <w:basedOn w:val="Normal"/>
    <w:rsid w:val="00E9524D"/>
    <w:pPr>
      <w:numPr>
        <w:ilvl w:val="2"/>
        <w:numId w:val="20"/>
      </w:numPr>
    </w:pPr>
    <w:rPr>
      <w:rFonts w:ascii="Times New Roman" w:hAnsi="Times New Roman"/>
      <w:sz w:val="20"/>
    </w:rPr>
  </w:style>
  <w:style w:type="paragraph" w:customStyle="1" w:styleId="Level4">
    <w:name w:val="Level 4"/>
    <w:basedOn w:val="Normal"/>
    <w:rsid w:val="00E9524D"/>
    <w:pPr>
      <w:numPr>
        <w:ilvl w:val="3"/>
        <w:numId w:val="20"/>
      </w:numPr>
    </w:pPr>
    <w:rPr>
      <w:rFonts w:ascii="Times New Roman" w:hAnsi="Times New Roman"/>
      <w:sz w:val="20"/>
    </w:rPr>
  </w:style>
  <w:style w:type="paragraph" w:customStyle="1" w:styleId="Level5">
    <w:name w:val="Level 5"/>
    <w:basedOn w:val="Normal"/>
    <w:rsid w:val="00E9524D"/>
    <w:pPr>
      <w:numPr>
        <w:ilvl w:val="4"/>
        <w:numId w:val="20"/>
      </w:numPr>
    </w:pPr>
    <w:rPr>
      <w:rFonts w:ascii="Times New Roman" w:hAnsi="Times New Roman"/>
      <w:sz w:val="20"/>
    </w:rPr>
  </w:style>
  <w:style w:type="paragraph" w:customStyle="1" w:styleId="Level6">
    <w:name w:val="Level 6"/>
    <w:basedOn w:val="Normal"/>
    <w:rsid w:val="00E9524D"/>
    <w:pPr>
      <w:numPr>
        <w:ilvl w:val="5"/>
        <w:numId w:val="20"/>
      </w:numPr>
    </w:pPr>
    <w:rPr>
      <w:rFonts w:ascii="Times New Roman" w:hAnsi="Times New Roman"/>
      <w:sz w:val="20"/>
    </w:rPr>
  </w:style>
  <w:style w:type="paragraph" w:customStyle="1" w:styleId="Level7">
    <w:name w:val="Level 7"/>
    <w:basedOn w:val="Normal"/>
    <w:rsid w:val="00E9524D"/>
    <w:pPr>
      <w:numPr>
        <w:ilvl w:val="6"/>
        <w:numId w:val="20"/>
      </w:numPr>
    </w:pPr>
    <w:rPr>
      <w:rFonts w:ascii="Times New Roman" w:hAnsi="Times New Roman"/>
      <w:sz w:val="20"/>
    </w:rPr>
  </w:style>
  <w:style w:type="paragraph" w:customStyle="1" w:styleId="Level8">
    <w:name w:val="Level 8"/>
    <w:basedOn w:val="Normal"/>
    <w:rsid w:val="00E9524D"/>
    <w:pPr>
      <w:numPr>
        <w:ilvl w:val="7"/>
        <w:numId w:val="20"/>
      </w:numPr>
    </w:pPr>
    <w:rPr>
      <w:rFonts w:ascii="Times New Roman" w:hAnsi="Times New Roman"/>
      <w:sz w:val="20"/>
    </w:rPr>
  </w:style>
  <w:style w:type="paragraph" w:customStyle="1" w:styleId="Level9">
    <w:name w:val="Level 9"/>
    <w:basedOn w:val="Normal"/>
    <w:rsid w:val="00E9524D"/>
    <w:pPr>
      <w:numPr>
        <w:ilvl w:val="8"/>
        <w:numId w:val="20"/>
      </w:numPr>
    </w:pPr>
    <w:rPr>
      <w:rFonts w:ascii="Times New Roman" w:hAnsi="Times New Roman"/>
      <w:sz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rsid w:val="00E9524D"/>
    <w:rPr>
      <w:rFonts w:ascii="Times New Roman" w:eastAsia="Times New Roman" w:hAnsi="Times New Roman" w:cs="Times New Roman"/>
      <w:szCs w:val="20"/>
    </w:rPr>
  </w:style>
  <w:style w:type="paragraph" w:styleId="Revision">
    <w:name w:val="Revision"/>
    <w:hidden/>
    <w:uiPriority w:val="99"/>
    <w:semiHidden/>
    <w:rsid w:val="00E9524D"/>
    <w:rPr>
      <w:rFonts w:ascii="Arial" w:eastAsia="Times New Roman" w:hAnsi="Arial"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8139C"/>
    <w:rPr>
      <w:b/>
      <w:bCs/>
    </w:rPr>
  </w:style>
  <w:style w:type="character" w:customStyle="1" w:styleId="CommentSubjectChar">
    <w:name w:val="Comment Subject Char"/>
    <w:basedOn w:val="CommentTextChar"/>
    <w:link w:val="CommentSubject"/>
    <w:uiPriority w:val="99"/>
    <w:semiHidden/>
    <w:rsid w:val="0068139C"/>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lidchemica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clidchemic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4BE2-515F-4FFC-BD2A-7A918031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MMB</cp:lastModifiedBy>
  <cp:revision>3</cp:revision>
  <cp:lastPrinted>2014-12-04T18:23:00Z</cp:lastPrinted>
  <dcterms:created xsi:type="dcterms:W3CDTF">2017-02-20T15:00:00Z</dcterms:created>
  <dcterms:modified xsi:type="dcterms:W3CDTF">2017-02-20T15:06:00Z</dcterms:modified>
</cp:coreProperties>
</file>