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p>
    <w:p w:rsidR="00C87AD4" w:rsidRPr="003A01D9" w:rsidRDefault="00D54062" w:rsidP="003A01D9">
      <w:pPr>
        <w:tabs>
          <w:tab w:val="left" w:pos="0"/>
        </w:tabs>
        <w:ind w:right="-180"/>
        <w:rPr>
          <w:rFonts w:ascii="Helvetica" w:hAnsi="Helvetica"/>
          <w:b/>
          <w:sz w:val="36"/>
        </w:rPr>
      </w:pPr>
      <w:r w:rsidRPr="00D54062">
        <w:rPr>
          <w:rFonts w:ascii="Helvetica" w:hAnsi="Helvetica"/>
          <w:b/>
          <w:sz w:val="36"/>
        </w:rPr>
        <w:t>HI-FLOW GROUT</w:t>
      </w:r>
      <w:r w:rsidR="009946CE">
        <w:rPr>
          <w:rFonts w:ascii="Helvetica" w:hAnsi="Helvetica"/>
          <w:b/>
          <w:sz w:val="36"/>
        </w:rPr>
        <w:t xml:space="preserve"> </w:t>
      </w:r>
    </w:p>
    <w:p w:rsidR="00C87AD4" w:rsidRPr="00C87AD4" w:rsidRDefault="00C87AD4" w:rsidP="00C87AD4">
      <w:pPr>
        <w:rPr>
          <w:rFonts w:ascii="Helvetica" w:hAnsi="Helvetica"/>
          <w:b/>
          <w:sz w:val="16"/>
        </w:rPr>
      </w:pPr>
    </w:p>
    <w:p w:rsidR="00C87AD4" w:rsidRDefault="00D54062" w:rsidP="00C87AD4">
      <w:pPr>
        <w:rPr>
          <w:rFonts w:ascii="Helvetica" w:hAnsi="Helvetica"/>
          <w:szCs w:val="26"/>
        </w:rPr>
      </w:pPr>
      <w:r w:rsidRPr="00D54062">
        <w:t>Coulis non métallique sans retrait</w:t>
      </w:r>
      <w:r w:rsidR="005B3895">
        <w:t xml:space="preserve"> </w:t>
      </w:r>
      <w:r w:rsidR="00C87AD4" w:rsidRPr="00C87AD4">
        <w:rPr>
          <w:rFonts w:ascii="Helvetica" w:hAnsi="Helvetica"/>
          <w:szCs w:val="26"/>
        </w:rPr>
        <w:t xml:space="preserve"> </w:t>
      </w:r>
    </w:p>
    <w:p w:rsidR="0074760D" w:rsidRPr="003A01D9" w:rsidRDefault="0074760D" w:rsidP="00C87AD4">
      <w:pPr>
        <w:rPr>
          <w:rFonts w:ascii="Helvetica" w:hAnsi="Helvetica"/>
          <w:b/>
          <w:i/>
          <w:color w:val="0070C0"/>
          <w:sz w:val="20"/>
        </w:rPr>
      </w:pPr>
    </w:p>
    <w:p w:rsidR="00D54062" w:rsidRPr="00DB762B" w:rsidRDefault="009D6F43" w:rsidP="00D54062">
      <w:pPr>
        <w:pStyle w:val="GuideSpec"/>
        <w:rPr>
          <w:b/>
          <w:i/>
          <w:color w:val="0070C0"/>
        </w:rPr>
      </w:pPr>
      <w:r w:rsidRPr="000B09F5">
        <w:rPr>
          <w:b/>
          <w:i/>
          <w:color w:val="365F91" w:themeColor="accent1" w:themeShade="BF"/>
        </w:rPr>
        <w:t xml:space="preserve"> </w:t>
      </w:r>
      <w:r w:rsidR="00D54062">
        <w:rPr>
          <w:b/>
          <w:i/>
          <w:color w:val="0070C0"/>
        </w:rPr>
        <w:t xml:space="preserve">{Note au rédacteur : Cet ajout aux spécifications donne des précisions à propos du coulis à tolérance élevée sans retrait HI-FLOW GROUT d'Euclid Canada. HI-FLOW GROUT est conçu pour les situations difficiles où il faut combiner une haute résistance, une fluidité et une tolérance élevées et une expansion positive. HI-FLOW GROUT contient uniquement des granulats naturels et un liant </w:t>
      </w:r>
      <w:r w:rsidR="00D54062" w:rsidRPr="00DB762B">
        <w:rPr>
          <w:b/>
          <w:i/>
          <w:color w:val="0070C0"/>
        </w:rPr>
        <w:t>compensateur de retrait. HI-FLOW GROUT est conçu pour être malaxé et appliqué à une consistance fluide, coulante ou plastique.</w:t>
      </w:r>
    </w:p>
    <w:p w:rsidR="00D54062" w:rsidRPr="00DB762B" w:rsidRDefault="00D54062" w:rsidP="00D54062">
      <w:pPr>
        <w:pStyle w:val="GuideSpec"/>
        <w:rPr>
          <w:b/>
          <w:i/>
          <w:color w:val="0070C0"/>
        </w:rPr>
      </w:pPr>
    </w:p>
    <w:p w:rsidR="00D54062" w:rsidRPr="00BA3242" w:rsidRDefault="00D54062" w:rsidP="00D54062">
      <w:pPr>
        <w:pStyle w:val="GuideSpec"/>
        <w:rPr>
          <w:b/>
          <w:i/>
          <w:color w:val="0070C0"/>
        </w:rPr>
      </w:pPr>
      <w:r w:rsidRPr="00DB762B">
        <w:rPr>
          <w:b/>
          <w:i/>
          <w:color w:val="0070C0"/>
        </w:rPr>
        <w:t>{Note au rédacteur : Les paragraphes ci-dessous sont conçus pour être intégrés aux parties 1, 2 et 3 des spécifications en trois parties du format CSI (normalement 03 30 00), aux</w:t>
      </w:r>
      <w:r>
        <w:rPr>
          <w:b/>
          <w:i/>
          <w:color w:val="0070C0"/>
        </w:rPr>
        <w:t xml:space="preserve"> remarques générales des ouvrages du projet ou directement aux plans. Ces paragraphes doivent être attentivement revus et modifiés par un professionnel en conception qualifié afin de répondre aux exigences particulières du projet et d'assurer leur conformité aux codes du bâtiment en vigueur et leur harmonisation avec les autres sections de spécification et les dessins.}</w:t>
      </w:r>
    </w:p>
    <w:p w:rsidR="00D54062" w:rsidRPr="00BA3242" w:rsidRDefault="00D54062" w:rsidP="00D54062">
      <w:pPr>
        <w:pStyle w:val="GuideSpec"/>
      </w:pPr>
    </w:p>
    <w:p w:rsidR="00D54062" w:rsidRPr="00BA3242" w:rsidRDefault="00D54062" w:rsidP="00D54062">
      <w:pPr>
        <w:pStyle w:val="GuideSpec"/>
      </w:pPr>
      <w:r>
        <w:t>PARTIE 1 </w:t>
      </w:r>
      <w:r>
        <w:rPr>
          <w:rFonts w:cs="Helvetica"/>
          <w:cs/>
        </w:rPr>
        <w:t>–</w:t>
      </w:r>
      <w:r>
        <w:tab/>
        <w:t>GÉNÉRALITÉS</w:t>
      </w:r>
    </w:p>
    <w:p w:rsidR="00D54062" w:rsidRDefault="00D54062" w:rsidP="00D54062">
      <w:pPr>
        <w:pStyle w:val="GuideSpec"/>
      </w:pPr>
    </w:p>
    <w:p w:rsidR="00D54062" w:rsidRPr="00BA3242" w:rsidRDefault="00D54062" w:rsidP="00D54062">
      <w:pPr>
        <w:pStyle w:val="GuideSpec"/>
      </w:pPr>
      <w:r>
        <w:t>1.1</w:t>
      </w:r>
      <w:r>
        <w:tab/>
        <w:t>EXIGENCES RELATIVES À LA QUALITÉ</w:t>
      </w:r>
    </w:p>
    <w:p w:rsidR="00D54062" w:rsidRDefault="00D54062" w:rsidP="00D54062">
      <w:pPr>
        <w:pStyle w:val="GuideSpec"/>
      </w:pPr>
    </w:p>
    <w:p w:rsidR="00D54062" w:rsidRPr="00BA3242" w:rsidRDefault="00D54062" w:rsidP="00D54062">
      <w:pPr>
        <w:pStyle w:val="A0"/>
      </w:pPr>
      <w:r>
        <w:t>A.</w:t>
      </w:r>
      <w:r>
        <w:tab/>
        <w:t>Fabricant : Certification ISO 9001 en matière de qualité en tant que fabricant principal des produits spécifiés.</w:t>
      </w:r>
    </w:p>
    <w:p w:rsidR="00D54062" w:rsidRDefault="00D54062" w:rsidP="00D54062">
      <w:pPr>
        <w:pStyle w:val="GuideSpec"/>
      </w:pPr>
    </w:p>
    <w:p w:rsidR="00D54062" w:rsidRPr="00BA3242" w:rsidRDefault="00D54062" w:rsidP="00D54062">
      <w:pPr>
        <w:pStyle w:val="GuideSpec"/>
      </w:pPr>
      <w:r>
        <w:t>1.2</w:t>
      </w:r>
      <w:r>
        <w:tab/>
        <w:t>INFORMATION À SOUMETTRE</w:t>
      </w:r>
    </w:p>
    <w:p w:rsidR="00D54062" w:rsidRDefault="00D54062" w:rsidP="00D54062">
      <w:pPr>
        <w:pStyle w:val="GuideSpec"/>
      </w:pPr>
    </w:p>
    <w:p w:rsidR="00D54062" w:rsidRPr="00BA3242" w:rsidRDefault="00D54062" w:rsidP="00D54062">
      <w:pPr>
        <w:pStyle w:val="A0"/>
        <w:ind w:left="1440" w:hanging="720"/>
      </w:pPr>
      <w:r>
        <w:t>A.</w:t>
      </w:r>
      <w:r>
        <w:tab/>
        <w:t xml:space="preserve">Liste de produits : Dresser la liste de tous les produits proposés à titre de coulis cimentaire en indiquant leur nom et leur fabricant. </w:t>
      </w:r>
    </w:p>
    <w:p w:rsidR="00D54062" w:rsidRDefault="00D54062" w:rsidP="00D54062">
      <w:pPr>
        <w:pStyle w:val="GuideSpec"/>
      </w:pPr>
    </w:p>
    <w:p w:rsidR="00D54062" w:rsidRPr="00BA3242" w:rsidRDefault="00D54062" w:rsidP="00D54062">
      <w:pPr>
        <w:pStyle w:val="A0"/>
        <w:ind w:left="1440" w:hanging="720"/>
      </w:pPr>
      <w:r>
        <w:t>B.</w:t>
      </w:r>
      <w:r>
        <w:tab/>
        <w:t>Certificat du fabricant : Le certificat doit indiquer que les produits de la liste de l'entrepreneur sont compatibles et adéquats pour l'utilisation spécifiée.</w:t>
      </w:r>
    </w:p>
    <w:p w:rsidR="00D54062" w:rsidRDefault="00D54062" w:rsidP="00D54062">
      <w:pPr>
        <w:pStyle w:val="GuideSpec"/>
      </w:pPr>
    </w:p>
    <w:p w:rsidR="00D54062" w:rsidRPr="00BA3242" w:rsidRDefault="00D54062" w:rsidP="00D54062">
      <w:pPr>
        <w:pStyle w:val="GuideSpec"/>
      </w:pPr>
      <w:r>
        <w:t>PARTIE 2 </w:t>
      </w:r>
      <w:r>
        <w:rPr>
          <w:rFonts w:cs="Helvetica"/>
          <w:cs/>
        </w:rPr>
        <w:t>–</w:t>
      </w:r>
      <w:r>
        <w:tab/>
        <w:t>PRODUITS</w:t>
      </w:r>
    </w:p>
    <w:p w:rsidR="00D54062" w:rsidRDefault="00D54062" w:rsidP="00D54062">
      <w:pPr>
        <w:pStyle w:val="GuideSpec"/>
      </w:pPr>
    </w:p>
    <w:p w:rsidR="00D54062" w:rsidRPr="00BA3242" w:rsidRDefault="00D54062" w:rsidP="00D54062">
      <w:pPr>
        <w:pStyle w:val="GuideSpec"/>
      </w:pPr>
      <w:r>
        <w:t>2.1</w:t>
      </w:r>
      <w:r>
        <w:tab/>
        <w:t>FABRICANTS</w:t>
      </w:r>
    </w:p>
    <w:p w:rsidR="00D54062" w:rsidRDefault="00D54062" w:rsidP="00D54062">
      <w:pPr>
        <w:pStyle w:val="GuideSpec"/>
      </w:pPr>
    </w:p>
    <w:p w:rsidR="00D54062" w:rsidRPr="00BA3242" w:rsidRDefault="00D54062" w:rsidP="00D54062">
      <w:pPr>
        <w:pStyle w:val="A0"/>
        <w:ind w:left="1440" w:hanging="720"/>
        <w:rPr>
          <w:u w:val="single"/>
        </w:rPr>
      </w:pPr>
      <w:r>
        <w:t>A.</w:t>
      </w:r>
      <w:r>
        <w:tab/>
        <w:t xml:space="preserve">Fabricant : Dresser la liste des produits offerts par Euclid Canada; </w:t>
      </w:r>
      <w:r>
        <w:rPr>
          <w:u w:val="single"/>
        </w:rPr>
        <w:t>www.euclidchemical.com</w:t>
      </w:r>
      <w:r>
        <w:t>.</w:t>
      </w:r>
      <w:r>
        <w:rPr>
          <w:u w:val="single"/>
        </w:rPr>
        <w:t xml:space="preserve"> </w:t>
      </w:r>
    </w:p>
    <w:p w:rsidR="00D54062" w:rsidRDefault="00D54062" w:rsidP="00D54062">
      <w:pPr>
        <w:pStyle w:val="A0"/>
      </w:pPr>
    </w:p>
    <w:p w:rsidR="00D54062" w:rsidRPr="00BA3242" w:rsidRDefault="00D54062" w:rsidP="00D54062">
      <w:pPr>
        <w:pStyle w:val="A0"/>
        <w:ind w:left="1440" w:hanging="720"/>
      </w:pPr>
      <w:r>
        <w:t>B.</w:t>
      </w:r>
      <w:r>
        <w:tab/>
        <w:t>Fabricant source unique : Les coulis cimentaires doivent provenir d'un seul fabricant qualifié.</w:t>
      </w:r>
    </w:p>
    <w:p w:rsidR="00D54062" w:rsidRDefault="00D54062" w:rsidP="00D54062">
      <w:pPr>
        <w:pStyle w:val="GuideSpec"/>
      </w:pPr>
    </w:p>
    <w:p w:rsidR="00D54062" w:rsidRPr="00BA3242" w:rsidRDefault="00D54062" w:rsidP="00D54062">
      <w:pPr>
        <w:pStyle w:val="GuideSpec"/>
      </w:pPr>
      <w:r>
        <w:t>2.2</w:t>
      </w:r>
      <w:r>
        <w:tab/>
        <w:t>COULIS CIMENTAIRE</w:t>
      </w:r>
    </w:p>
    <w:p w:rsidR="00D54062" w:rsidRDefault="00D54062" w:rsidP="00D54062">
      <w:pPr>
        <w:pStyle w:val="GuideSpec"/>
      </w:pPr>
    </w:p>
    <w:p w:rsidR="00D54062" w:rsidRPr="00BA3242" w:rsidRDefault="00D54062" w:rsidP="00D54062">
      <w:pPr>
        <w:pStyle w:val="A0"/>
        <w:ind w:left="1440" w:hanging="720"/>
      </w:pPr>
      <w:r>
        <w:t>A.</w:t>
      </w:r>
      <w:r>
        <w:tab/>
        <w:t>Coulis cimentaire : Coulis cimentaire pour les applications exigeant une haute performance.</w:t>
      </w:r>
    </w:p>
    <w:p w:rsidR="00D54062" w:rsidRPr="00BA3242" w:rsidRDefault="00D54062" w:rsidP="00D54062">
      <w:pPr>
        <w:pStyle w:val="GuideSpec"/>
        <w:ind w:left="720" w:firstLine="720"/>
      </w:pPr>
      <w:r>
        <w:t>1.</w:t>
      </w:r>
      <w:r>
        <w:tab/>
        <w:t>Le produit doit satisfaire aux exigences des normes suivantes :</w:t>
      </w:r>
    </w:p>
    <w:p w:rsidR="00D54062" w:rsidRDefault="00D54062" w:rsidP="00D54062">
      <w:pPr>
        <w:pStyle w:val="a"/>
      </w:pPr>
      <w:r>
        <w:t>a)</w:t>
      </w:r>
      <w:r>
        <w:tab/>
        <w:t>ASTM C 1107, Standard Specification for Packaged, Dry, Hydraulic-Cement Grout (non-shrink).</w:t>
      </w:r>
    </w:p>
    <w:p w:rsidR="00D54062" w:rsidRPr="00BA3242" w:rsidRDefault="00D54062" w:rsidP="00D54062">
      <w:pPr>
        <w:pStyle w:val="a"/>
      </w:pPr>
      <w:r>
        <w:t>b)</w:t>
      </w:r>
      <w:r>
        <w:tab/>
        <w:t>CRD C 621, US Army Corps of Engineers Specification for Non-Shrink Grout.</w:t>
      </w:r>
      <w:bookmarkStart w:id="0" w:name="_GoBack"/>
      <w:bookmarkEnd w:id="0"/>
    </w:p>
    <w:p w:rsidR="00D54062" w:rsidRDefault="00D54062" w:rsidP="00D54062">
      <w:pPr>
        <w:pStyle w:val="GuideSpec"/>
      </w:pPr>
    </w:p>
    <w:p w:rsidR="00D54062" w:rsidRDefault="00D54062" w:rsidP="00D54062">
      <w:pPr>
        <w:pStyle w:val="GuideSpec"/>
      </w:pPr>
    </w:p>
    <w:p w:rsidR="00D54062" w:rsidRPr="00BA3242" w:rsidRDefault="00D54062" w:rsidP="00D54062">
      <w:pPr>
        <w:pStyle w:val="GuideSpec"/>
        <w:ind w:left="720" w:firstLine="720"/>
      </w:pPr>
      <w:r>
        <w:t>2.</w:t>
      </w:r>
      <w:r>
        <w:tab/>
      </w:r>
      <w:r w:rsidRPr="003943D4">
        <w:t>Produits pour la base de conception</w:t>
      </w:r>
      <w:r>
        <w:t xml:space="preserve"> : </w:t>
      </w:r>
    </w:p>
    <w:p w:rsidR="00D54062" w:rsidRPr="00BA3242" w:rsidRDefault="00D54062" w:rsidP="00D54062">
      <w:pPr>
        <w:pStyle w:val="a"/>
      </w:pPr>
      <w:r>
        <w:t>a)</w:t>
      </w:r>
      <w:r>
        <w:tab/>
        <w:t>HI-FLOW GROUT d'Euclid Canada</w:t>
      </w:r>
    </w:p>
    <w:p w:rsidR="00D54062" w:rsidRPr="00BA3242" w:rsidRDefault="00D54062" w:rsidP="00D54062">
      <w:pPr>
        <w:pStyle w:val="a"/>
      </w:pPr>
      <w:r>
        <w:t>b)</w:t>
      </w:r>
      <w:r>
        <w:tab/>
        <w:t>Taux d'écoulement, ASTM C 939 et CRD C 621, à 24 °C, 50 % HR :</w:t>
      </w:r>
    </w:p>
    <w:p w:rsidR="00D54062" w:rsidRPr="00BA3242" w:rsidRDefault="00D54062" w:rsidP="00D54062">
      <w:pPr>
        <w:pStyle w:val="GuideSpec"/>
        <w:ind w:left="1800" w:firstLine="720"/>
      </w:pPr>
      <w:r>
        <w:t>1)</w:t>
      </w:r>
      <w:r>
        <w:tab/>
        <w:t>Consistance fluide, 4,5 litres/22,7 kg (1</w:t>
      </w:r>
      <w:r w:rsidRPr="00DB762B">
        <w:t>,2 gal US/</w:t>
      </w:r>
      <w:r>
        <w:t>50 lb)</w:t>
      </w:r>
    </w:p>
    <w:p w:rsidR="00D54062" w:rsidRDefault="00D54062" w:rsidP="00D54062">
      <w:pPr>
        <w:pStyle w:val="GuideSpec"/>
        <w:ind w:left="2160" w:firstLine="720"/>
      </w:pPr>
      <w:r>
        <w:t>a)</w:t>
      </w:r>
      <w:r>
        <w:tab/>
        <w:t>Initial : 21 secondes</w:t>
      </w:r>
    </w:p>
    <w:p w:rsidR="00D54062" w:rsidRDefault="00D54062" w:rsidP="00D54062">
      <w:pPr>
        <w:pStyle w:val="GuideSpec"/>
        <w:ind w:left="2160" w:firstLine="720"/>
      </w:pPr>
      <w:r>
        <w:t>b)</w:t>
      </w:r>
      <w:r>
        <w:tab/>
        <w:t xml:space="preserve">30 minutes : 29 secondes </w:t>
      </w:r>
    </w:p>
    <w:p w:rsidR="00D54062" w:rsidRDefault="00D54062" w:rsidP="00D54062">
      <w:pPr>
        <w:pStyle w:val="GuideSpec"/>
        <w:ind w:left="2160" w:firstLine="720"/>
      </w:pPr>
      <w:r>
        <w:t>c)</w:t>
      </w:r>
      <w:r>
        <w:tab/>
        <w:t>60 minutes : 31 secondes</w:t>
      </w:r>
    </w:p>
    <w:p w:rsidR="00D54062" w:rsidRPr="00BA3242" w:rsidRDefault="00D54062" w:rsidP="00D54062">
      <w:pPr>
        <w:pStyle w:val="a"/>
      </w:pPr>
    </w:p>
    <w:p w:rsidR="00D54062" w:rsidRPr="00CC7A87" w:rsidRDefault="00D54062" w:rsidP="00D54062">
      <w:pPr>
        <w:pStyle w:val="a"/>
      </w:pPr>
      <w:r>
        <w:t>c)</w:t>
      </w:r>
      <w:r>
        <w:tab/>
        <w:t xml:space="preserve">Résistance à la compression, </w:t>
      </w:r>
      <w:r w:rsidRPr="00CC7A87">
        <w:t>ASTM C 109 modifiée pour ASTM C 1107 clause 11.5, cubes de 50 mm (2 po), à 24 °C, 50 % HR :</w:t>
      </w:r>
    </w:p>
    <w:p w:rsidR="00D54062" w:rsidRPr="00CC7A87" w:rsidRDefault="00D54062" w:rsidP="00D54062">
      <w:pPr>
        <w:pStyle w:val="a"/>
        <w:ind w:firstLine="0"/>
      </w:pPr>
      <w:r w:rsidRPr="00CC7A87">
        <w:t>1)</w:t>
      </w:r>
      <w:r w:rsidRPr="00CC7A87">
        <w:tab/>
        <w:t>Consistance fluide, 4,5 litres/22,7 kg (1,2 gal US/50 lb)</w:t>
      </w:r>
    </w:p>
    <w:p w:rsidR="00D54062" w:rsidRPr="00CC7A87" w:rsidRDefault="00D54062" w:rsidP="00D54062">
      <w:pPr>
        <w:pStyle w:val="a"/>
        <w:ind w:firstLine="360"/>
      </w:pPr>
      <w:r w:rsidRPr="00CC7A87">
        <w:t>a)</w:t>
      </w:r>
      <w:r w:rsidRPr="00CC7A87">
        <w:tab/>
        <w:t>1 jour : 21 MPa</w:t>
      </w:r>
    </w:p>
    <w:p w:rsidR="00D54062" w:rsidRPr="00CC7A87" w:rsidRDefault="00D54062" w:rsidP="00D54062">
      <w:pPr>
        <w:pStyle w:val="a"/>
        <w:ind w:firstLine="360"/>
      </w:pPr>
      <w:r w:rsidRPr="00CC7A87">
        <w:t>b)</w:t>
      </w:r>
      <w:r w:rsidRPr="00CC7A87">
        <w:tab/>
        <w:t>3 jours : 33 MPa</w:t>
      </w:r>
    </w:p>
    <w:p w:rsidR="00D54062" w:rsidRPr="00CC7A87" w:rsidRDefault="00D54062" w:rsidP="00D54062">
      <w:pPr>
        <w:pStyle w:val="a"/>
        <w:ind w:firstLine="360"/>
      </w:pPr>
      <w:r w:rsidRPr="00CC7A87">
        <w:t>c)</w:t>
      </w:r>
      <w:r w:rsidRPr="00CC7A87">
        <w:tab/>
        <w:t>7 jours : 34 MPa</w:t>
      </w:r>
    </w:p>
    <w:p w:rsidR="00D54062" w:rsidRPr="00CC7A87" w:rsidRDefault="00D54062" w:rsidP="00D54062">
      <w:pPr>
        <w:pStyle w:val="a"/>
        <w:ind w:firstLine="360"/>
      </w:pPr>
      <w:r w:rsidRPr="00CC7A87">
        <w:t>d)</w:t>
      </w:r>
      <w:r w:rsidRPr="00CC7A87">
        <w:tab/>
        <w:t>28 jours : 59 MPa</w:t>
      </w:r>
    </w:p>
    <w:p w:rsidR="00D54062" w:rsidRPr="00CC7A87" w:rsidRDefault="00D54062" w:rsidP="00D54062">
      <w:pPr>
        <w:pStyle w:val="a"/>
      </w:pPr>
    </w:p>
    <w:p w:rsidR="00D54062" w:rsidRPr="00CC7A87" w:rsidRDefault="00D54062" w:rsidP="00D54062">
      <w:pPr>
        <w:pStyle w:val="a"/>
      </w:pPr>
      <w:r w:rsidRPr="00CC7A87">
        <w:t>d)</w:t>
      </w:r>
      <w:r w:rsidRPr="00CC7A87">
        <w:tab/>
        <w:t>Variation de volume, ASTM C 1090 et CRD C 621 à 24 °C, 50 % HR :</w:t>
      </w:r>
    </w:p>
    <w:p w:rsidR="00D54062" w:rsidRDefault="00D54062" w:rsidP="00D54062">
      <w:pPr>
        <w:pStyle w:val="a"/>
        <w:ind w:firstLine="0"/>
      </w:pPr>
      <w:r w:rsidRPr="00CC7A87">
        <w:t>1)</w:t>
      </w:r>
      <w:r w:rsidRPr="00CC7A87">
        <w:tab/>
        <w:t>Consistance fluide, 4,5 litres/22,7 kg (1,2 gal US</w:t>
      </w:r>
      <w:r>
        <w:t>/50 lb)</w:t>
      </w:r>
    </w:p>
    <w:p w:rsidR="00D54062" w:rsidRDefault="00D54062" w:rsidP="00D54062">
      <w:pPr>
        <w:pStyle w:val="a"/>
        <w:ind w:firstLine="360"/>
      </w:pPr>
      <w:r>
        <w:t>a)</w:t>
      </w:r>
      <w:r>
        <w:tab/>
        <w:t xml:space="preserve">1, 3, 7 et 28 jours : 0,03 % </w:t>
      </w:r>
    </w:p>
    <w:p w:rsidR="00D54062" w:rsidRDefault="00D54062" w:rsidP="00D54062">
      <w:pPr>
        <w:pStyle w:val="a"/>
      </w:pPr>
    </w:p>
    <w:p w:rsidR="00D54062" w:rsidRDefault="00D54062" w:rsidP="00D54062">
      <w:pPr>
        <w:pStyle w:val="a"/>
      </w:pPr>
      <w:r>
        <w:t>e)</w:t>
      </w:r>
      <w:r>
        <w:tab/>
        <w:t>Temps de prise à 24 °C, 50 % HR :</w:t>
      </w:r>
    </w:p>
    <w:p w:rsidR="00D54062" w:rsidRDefault="00D54062" w:rsidP="00D54062">
      <w:pPr>
        <w:pStyle w:val="a"/>
        <w:ind w:firstLine="0"/>
      </w:pPr>
      <w:r>
        <w:t>1)</w:t>
      </w:r>
      <w:r>
        <w:tab/>
        <w:t>Prise initiale : 3 heures 50 minutes</w:t>
      </w:r>
    </w:p>
    <w:p w:rsidR="00D54062" w:rsidRPr="00BA3242" w:rsidRDefault="00D54062" w:rsidP="00D54062">
      <w:pPr>
        <w:pStyle w:val="a"/>
        <w:ind w:firstLine="0"/>
      </w:pPr>
      <w:r>
        <w:t>2)</w:t>
      </w:r>
      <w:r>
        <w:tab/>
        <w:t xml:space="preserve">Prise finale : 4 heures 50 minutes </w:t>
      </w:r>
    </w:p>
    <w:p w:rsidR="00D54062" w:rsidRDefault="00D54062" w:rsidP="00D54062">
      <w:pPr>
        <w:pStyle w:val="GuideSpec"/>
      </w:pPr>
    </w:p>
    <w:p w:rsidR="00D54062" w:rsidRPr="00BA3242" w:rsidRDefault="00D54062" w:rsidP="00D54062">
      <w:pPr>
        <w:pStyle w:val="GuideSpec"/>
      </w:pPr>
      <w:r>
        <w:t>PARTIE 3 </w:t>
      </w:r>
      <w:r>
        <w:rPr>
          <w:rFonts w:cs="Helvetica"/>
          <w:cs/>
        </w:rPr>
        <w:t>–</w:t>
      </w:r>
      <w:r>
        <w:tab/>
        <w:t>EXÉCUTION</w:t>
      </w:r>
    </w:p>
    <w:p w:rsidR="00D54062" w:rsidRDefault="00D54062" w:rsidP="00D54062">
      <w:pPr>
        <w:pStyle w:val="GuideSpec"/>
      </w:pPr>
    </w:p>
    <w:p w:rsidR="00D54062" w:rsidRPr="00CC7A87" w:rsidRDefault="00D54062" w:rsidP="00D54062">
      <w:pPr>
        <w:pStyle w:val="GuideSpec"/>
        <w:rPr>
          <w:b/>
          <w:i/>
          <w:color w:val="0070C0"/>
        </w:rPr>
      </w:pPr>
      <w:r>
        <w:rPr>
          <w:b/>
          <w:i/>
          <w:color w:val="0070C0"/>
        </w:rPr>
        <w:t>{Note au rédacteur : Cette section traite de la préparation de la surface, de la préparation des coffrages, du malaxage, de la mise en place, de la cure et du nettoyage pour HI-FLOW GROUT d’</w:t>
      </w:r>
      <w:r w:rsidRPr="0084070D">
        <w:rPr>
          <w:b/>
          <w:i/>
          <w:color w:val="0070C0"/>
        </w:rPr>
        <w:t>Euclid Canada</w:t>
      </w:r>
      <w:r>
        <w:rPr>
          <w:b/>
          <w:i/>
          <w:color w:val="0070C0"/>
        </w:rPr>
        <w:t xml:space="preserve">. Pour des directives et renseignements en matière de sécurité à jour, veuillez consulter les fiches techniques et les fiches de données de sécurité affichées au </w:t>
      </w:r>
      <w:r>
        <w:rPr>
          <w:b/>
          <w:i/>
          <w:color w:val="0070C0"/>
          <w:u w:val="single"/>
        </w:rPr>
        <w:t>www.euclidchemical.com</w:t>
      </w:r>
      <w:r>
        <w:rPr>
          <w:b/>
          <w:i/>
          <w:color w:val="0070C0"/>
        </w:rPr>
        <w:t xml:space="preserve">. Note : Il est recommandé que l'entrepreneur et l'ingénieur consultent le document </w:t>
      </w:r>
      <w:r w:rsidRPr="0084070D">
        <w:rPr>
          <w:b/>
          <w:color w:val="0070C0"/>
        </w:rPr>
        <w:t xml:space="preserve">Directives d'application </w:t>
      </w:r>
      <w:r w:rsidRPr="0084070D">
        <w:rPr>
          <w:rFonts w:cs="Helvetica"/>
          <w:b/>
          <w:color w:val="0070C0"/>
          <w:cs/>
        </w:rPr>
        <w:t xml:space="preserve">– </w:t>
      </w:r>
      <w:r w:rsidRPr="00CC7A87">
        <w:rPr>
          <w:b/>
          <w:color w:val="0070C0"/>
        </w:rPr>
        <w:t>coulis à base de liant</w:t>
      </w:r>
      <w:r w:rsidRPr="00CC7A87">
        <w:rPr>
          <w:b/>
          <w:i/>
          <w:color w:val="0070C0"/>
        </w:rPr>
        <w:t xml:space="preserve"> publié par Euclid.</w:t>
      </w:r>
    </w:p>
    <w:p w:rsidR="00D54062" w:rsidRPr="00BA3242" w:rsidRDefault="00D54062" w:rsidP="00D54062">
      <w:pPr>
        <w:pStyle w:val="GuideSpec"/>
        <w:rPr>
          <w:b/>
          <w:i/>
          <w:color w:val="0070C0"/>
        </w:rPr>
      </w:pPr>
      <w:r w:rsidRPr="00CC7A87">
        <w:rPr>
          <w:b/>
          <w:i/>
          <w:color w:val="0070C0"/>
        </w:rPr>
        <w:t xml:space="preserve"> (http://www.euclidchemical.com/fileshare/ELit/Installation%20Instructions/Cementitious%20Grout%20Application%20Guide%20FR.pdf.)</w:t>
      </w:r>
    </w:p>
    <w:p w:rsidR="00D54062" w:rsidRPr="00BA3242" w:rsidRDefault="00D54062" w:rsidP="00D54062">
      <w:pPr>
        <w:pStyle w:val="GuideSpec"/>
        <w:rPr>
          <w:b/>
          <w:i/>
          <w:color w:val="0070C0"/>
        </w:rPr>
      </w:pPr>
      <w:r>
        <w:rPr>
          <w:b/>
          <w:i/>
          <w:color w:val="0070C0"/>
        </w:rPr>
        <w:t>Ce document présente des directives détaillées sur la mise en place des coulis à base de liant fabriqués par Euclid. Important : Si l'entrepreneur n'est pas familiarisé avec les techniques standards de mise en place du coulis, il est suggéré de tenir une réunion de chantier afin de passer en revue les détails propres au projet. Veuillez contacter votre représentant Euclid pour de plus amples renseignements.}</w:t>
      </w:r>
    </w:p>
    <w:p w:rsidR="00D54062" w:rsidRDefault="00D54062" w:rsidP="00D54062">
      <w:pPr>
        <w:pStyle w:val="GuideSpec"/>
      </w:pPr>
    </w:p>
    <w:p w:rsidR="00D54062" w:rsidRPr="00BA3242" w:rsidRDefault="00D54062" w:rsidP="00D54062">
      <w:pPr>
        <w:pStyle w:val="GuideSpec"/>
      </w:pPr>
      <w:r>
        <w:t>3.1</w:t>
      </w:r>
      <w:r>
        <w:tab/>
        <w:t>PRÉPARATION DE LA SURFACE</w:t>
      </w:r>
    </w:p>
    <w:p w:rsidR="00D54062" w:rsidRDefault="00D54062" w:rsidP="00D54062">
      <w:pPr>
        <w:pStyle w:val="GuideSpec"/>
      </w:pPr>
    </w:p>
    <w:p w:rsidR="00D54062" w:rsidRPr="00BA3242" w:rsidRDefault="00D54062" w:rsidP="00D54062">
      <w:pPr>
        <w:pStyle w:val="A0"/>
        <w:ind w:left="1440" w:hanging="720"/>
      </w:pPr>
      <w:r>
        <w:t>A.</w:t>
      </w:r>
      <w:r>
        <w:tab/>
        <w:t xml:space="preserve">Toutes les surfaces destinées à entrer en contact avec le coulis doivent être propres et exemptes de rouille, de graisse, d'huile et d'autres contaminants. </w:t>
      </w:r>
    </w:p>
    <w:p w:rsidR="00D54062" w:rsidRDefault="00D54062" w:rsidP="00D54062">
      <w:pPr>
        <w:pStyle w:val="A0"/>
      </w:pPr>
    </w:p>
    <w:p w:rsidR="00D54062" w:rsidRPr="00BA3242" w:rsidRDefault="00D54062" w:rsidP="00D54062">
      <w:pPr>
        <w:pStyle w:val="A0"/>
        <w:ind w:left="1440" w:hanging="720"/>
      </w:pPr>
      <w:r>
        <w:t>B.</w:t>
      </w:r>
      <w:r>
        <w:tab/>
        <w:t>Saturer la zone à recouvrir de coulis avec de l'eau jusqu'à ce qu'elle soit uniformément humide. Enlever tout excès d'eau juste avant de mettre en place le coulis.</w:t>
      </w:r>
    </w:p>
    <w:p w:rsidR="00D54062" w:rsidRDefault="00D54062" w:rsidP="00D54062">
      <w:pPr>
        <w:pStyle w:val="GuideSpec"/>
      </w:pPr>
      <w:r>
        <w:tab/>
      </w:r>
    </w:p>
    <w:p w:rsidR="00D54062" w:rsidRPr="00BA3242" w:rsidRDefault="00D54062" w:rsidP="00D54062">
      <w:pPr>
        <w:pStyle w:val="GuideSpec"/>
      </w:pPr>
      <w:r>
        <w:t>3.2</w:t>
      </w:r>
      <w:r>
        <w:tab/>
        <w:t xml:space="preserve">MALAXAGE </w:t>
      </w:r>
    </w:p>
    <w:p w:rsidR="00D54062" w:rsidRDefault="00D54062" w:rsidP="00D54062">
      <w:pPr>
        <w:pStyle w:val="A0"/>
      </w:pPr>
    </w:p>
    <w:p w:rsidR="00D54062" w:rsidRPr="00BA3242" w:rsidRDefault="00D54062" w:rsidP="00D54062">
      <w:pPr>
        <w:pStyle w:val="A0"/>
        <w:ind w:left="1440" w:hanging="720"/>
      </w:pPr>
      <w:r>
        <w:t>A.</w:t>
      </w:r>
      <w:r>
        <w:tab/>
        <w:t xml:space="preserve">La température de tous les matériaux utilisés dans le coulis doit se situer entre 10 et 27 °C immédiatement avant le malaxage. </w:t>
      </w:r>
    </w:p>
    <w:p w:rsidR="00D54062" w:rsidRDefault="00D54062" w:rsidP="00D54062">
      <w:pPr>
        <w:pStyle w:val="GuideSpec"/>
      </w:pPr>
    </w:p>
    <w:p w:rsidR="00D54062" w:rsidRPr="00BA3242" w:rsidRDefault="00D54062" w:rsidP="00D54062">
      <w:pPr>
        <w:pStyle w:val="A0"/>
        <w:ind w:left="1440" w:hanging="720"/>
      </w:pPr>
      <w:r>
        <w:lastRenderedPageBreak/>
        <w:t>B.</w:t>
      </w:r>
      <w:r>
        <w:tab/>
        <w:t xml:space="preserve">Mélanger le coulis selon les directives écrites du fabricant. Malaxer les petites quantités à l'aide d'une perceuse et d'un mélangeur Jiffy. Pour les travaux d'envergure, utiliser un malaxeur à mortier à lame. </w:t>
      </w:r>
    </w:p>
    <w:p w:rsidR="00D54062" w:rsidRDefault="00D54062" w:rsidP="00D54062">
      <w:pPr>
        <w:pStyle w:val="A0"/>
      </w:pPr>
    </w:p>
    <w:p w:rsidR="00D54062" w:rsidRPr="00BA3242" w:rsidRDefault="00D54062" w:rsidP="00D54062">
      <w:pPr>
        <w:pStyle w:val="A0"/>
        <w:ind w:left="1440" w:hanging="720"/>
      </w:pPr>
      <w:r>
        <w:t>C.</w:t>
      </w:r>
      <w:r>
        <w:tab/>
        <w:t xml:space="preserve">Ajouter au contenant de malaxage la quantité d'eau potable propre appropriée à la grosseur de la gâchée, puis ajouter le coulis sec. Ne pas dépasser le contenu en eau recommandé par le fabricant. Contrôler le contenu en eau. Ne pas ajouter d'adjuvants, de sable ou de ciment au coulis. </w:t>
      </w:r>
    </w:p>
    <w:p w:rsidR="00D54062" w:rsidRDefault="00D54062" w:rsidP="00D54062">
      <w:pPr>
        <w:pStyle w:val="A0"/>
      </w:pPr>
    </w:p>
    <w:p w:rsidR="00D54062" w:rsidRPr="00BA3242" w:rsidRDefault="00D54062" w:rsidP="00D54062">
      <w:pPr>
        <w:pStyle w:val="A0"/>
      </w:pPr>
      <w:r>
        <w:t>D.</w:t>
      </w:r>
      <w:r>
        <w:tab/>
        <w:t xml:space="preserve">Malaxer pendant au moins 2 à 3 minutes. </w:t>
      </w:r>
    </w:p>
    <w:p w:rsidR="00D54062" w:rsidRDefault="00D54062" w:rsidP="00D54062">
      <w:pPr>
        <w:pStyle w:val="A0"/>
      </w:pPr>
    </w:p>
    <w:p w:rsidR="00D54062" w:rsidRPr="00BA3242" w:rsidRDefault="00D54062" w:rsidP="00D54062">
      <w:pPr>
        <w:pStyle w:val="A0"/>
      </w:pPr>
      <w:r>
        <w:t>E.</w:t>
      </w:r>
      <w:r>
        <w:tab/>
        <w:t xml:space="preserve">Vérifier l'étalement. </w:t>
      </w:r>
    </w:p>
    <w:p w:rsidR="00D54062" w:rsidRDefault="00D54062" w:rsidP="00D54062">
      <w:pPr>
        <w:pStyle w:val="GuideSpec"/>
      </w:pPr>
    </w:p>
    <w:p w:rsidR="00D54062" w:rsidRPr="00BA3242" w:rsidRDefault="00D54062" w:rsidP="00D54062">
      <w:pPr>
        <w:pStyle w:val="GuideSpec"/>
      </w:pPr>
      <w:r>
        <w:t>3.3</w:t>
      </w:r>
      <w:r>
        <w:tab/>
        <w:t>MISE EN PLACE</w:t>
      </w:r>
    </w:p>
    <w:p w:rsidR="00D54062" w:rsidRDefault="00D54062" w:rsidP="00D54062">
      <w:pPr>
        <w:pStyle w:val="GuideSpec"/>
      </w:pPr>
    </w:p>
    <w:p w:rsidR="00D54062" w:rsidRPr="00BA3242" w:rsidRDefault="00D54062" w:rsidP="00D54062">
      <w:pPr>
        <w:pStyle w:val="A0"/>
      </w:pPr>
      <w:r>
        <w:t>A.</w:t>
      </w:r>
      <w:r>
        <w:tab/>
        <w:t xml:space="preserve">Mettre en place le coulis selon les directives écrites du fabricant. </w:t>
      </w:r>
    </w:p>
    <w:p w:rsidR="00D54062" w:rsidRDefault="00D54062" w:rsidP="00D54062">
      <w:pPr>
        <w:pStyle w:val="A0"/>
      </w:pPr>
    </w:p>
    <w:p w:rsidR="00D54062" w:rsidRPr="00BA3242" w:rsidRDefault="00D54062" w:rsidP="00D54062">
      <w:pPr>
        <w:pStyle w:val="A0"/>
        <w:ind w:left="1440" w:hanging="720"/>
      </w:pPr>
      <w:r>
        <w:t>B.</w:t>
      </w:r>
      <w:r>
        <w:tab/>
        <w:t>Prévoir une ouverture d'au moins 50 mm (2 po) pour verser le coulis et une hauteur de chute d'au moins 150 mm (6 po). À l'endroit du déversement, incliner le coffrage pour faciliter l'écoulement du coulis et éviter d'emprisonner de l'air. Éviter les coffrages trop ajustés. Laisser un dégagement horizontal de 25 mm (1 po), et le haut des parois verticales doit dépasser de 25 mm (1 po) le dessous de la plaque de base. Les coffrages doivent permettre à l'air de s'échapper. Ne pas emprisonner d'air.</w:t>
      </w:r>
    </w:p>
    <w:p w:rsidR="00D54062" w:rsidRDefault="00D54062" w:rsidP="00D54062">
      <w:pPr>
        <w:pStyle w:val="A0"/>
      </w:pPr>
    </w:p>
    <w:p w:rsidR="00D54062" w:rsidRPr="00BA3242" w:rsidRDefault="00D54062" w:rsidP="00D54062">
      <w:pPr>
        <w:pStyle w:val="A0"/>
        <w:ind w:left="1440" w:hanging="720"/>
      </w:pPr>
      <w:r>
        <w:t>C.</w:t>
      </w:r>
      <w:r>
        <w:tab/>
        <w:t>Mettre en place le coulis malaxé immédiatement et de façon continue. Si nécessaire, utiliser une tige ou une courroie pour faciliter la mise en place.</w:t>
      </w:r>
    </w:p>
    <w:p w:rsidR="00D54062" w:rsidRDefault="00D54062" w:rsidP="00D54062">
      <w:pPr>
        <w:pStyle w:val="A0"/>
      </w:pPr>
    </w:p>
    <w:p w:rsidR="00D54062" w:rsidRPr="00BA3242" w:rsidRDefault="00D54062" w:rsidP="00D54062">
      <w:pPr>
        <w:pStyle w:val="A0"/>
      </w:pPr>
      <w:r>
        <w:t>D.</w:t>
      </w:r>
      <w:r>
        <w:tab/>
        <w:t xml:space="preserve">Contacter le fabricant si l'épaisseur de mise en place doit </w:t>
      </w:r>
      <w:r w:rsidRPr="00CC7A87">
        <w:t>excéder 127 mm (5 po).</w:t>
      </w:r>
    </w:p>
    <w:p w:rsidR="00D54062" w:rsidRDefault="00D54062" w:rsidP="00D54062">
      <w:pPr>
        <w:pStyle w:val="GuideSpec"/>
      </w:pPr>
    </w:p>
    <w:p w:rsidR="00D54062" w:rsidRPr="00BA3242" w:rsidRDefault="00D54062" w:rsidP="00D54062">
      <w:pPr>
        <w:pStyle w:val="GuideSpec"/>
      </w:pPr>
      <w:r>
        <w:t>3.4</w:t>
      </w:r>
      <w:r>
        <w:tab/>
        <w:t>FINITION</w:t>
      </w:r>
    </w:p>
    <w:p w:rsidR="00D54062" w:rsidRDefault="00D54062" w:rsidP="00D54062">
      <w:pPr>
        <w:pStyle w:val="GuideSpec"/>
      </w:pPr>
    </w:p>
    <w:p w:rsidR="00D54062" w:rsidRPr="00BA3242" w:rsidRDefault="00D54062" w:rsidP="00D54062">
      <w:pPr>
        <w:pStyle w:val="A0"/>
        <w:ind w:left="1440" w:hanging="720"/>
      </w:pPr>
      <w:r>
        <w:t>A.</w:t>
      </w:r>
      <w:r>
        <w:tab/>
        <w:t>Finir la surface du coulis selon les directives écrites du fabricant. Enlever les coffrages dès que le coulis a suffisamment durci pour qu'il n'y ait pas d'affaissement sous la plaque de base. Façonner les épaulements et finir à la texture souhaitée aux endroits requis.</w:t>
      </w:r>
    </w:p>
    <w:p w:rsidR="00D54062" w:rsidRDefault="00D54062" w:rsidP="00D54062">
      <w:pPr>
        <w:pStyle w:val="A0"/>
      </w:pPr>
    </w:p>
    <w:p w:rsidR="00D54062" w:rsidRPr="00BA3242" w:rsidRDefault="00D54062" w:rsidP="00D54062">
      <w:pPr>
        <w:pStyle w:val="A0"/>
        <w:ind w:left="1440" w:hanging="720"/>
        <w:rPr>
          <w:rStyle w:val="AChar0"/>
        </w:rPr>
      </w:pPr>
      <w:r>
        <w:t>B.</w:t>
      </w:r>
      <w:r>
        <w:tab/>
        <w:t>Aussitôt que le lustre causé par l'eau a disparu et que le coulis a atteint sa prise initiale, inonder d'eau ou couvrir avec des linges humides, du jute ou du plastique pour empêcher un séchage prématuré.</w:t>
      </w:r>
    </w:p>
    <w:p w:rsidR="00D54062" w:rsidRPr="00BA3242" w:rsidRDefault="00D54062" w:rsidP="00D54062">
      <w:pPr>
        <w:pStyle w:val="GuideSpec"/>
      </w:pPr>
    </w:p>
    <w:p w:rsidR="00D54062" w:rsidRPr="00BA3242" w:rsidRDefault="00D54062" w:rsidP="00D54062">
      <w:pPr>
        <w:pStyle w:val="GuideSpec"/>
      </w:pPr>
      <w:r>
        <w:t>3.5</w:t>
      </w:r>
      <w:r>
        <w:tab/>
        <w:t>CURE</w:t>
      </w:r>
    </w:p>
    <w:p w:rsidR="00D54062" w:rsidRDefault="00D54062" w:rsidP="00D54062">
      <w:pPr>
        <w:pStyle w:val="GuideSpec"/>
      </w:pPr>
    </w:p>
    <w:p w:rsidR="00D54062" w:rsidRPr="00BA3242" w:rsidRDefault="00D54062" w:rsidP="00D54062">
      <w:pPr>
        <w:pStyle w:val="A0"/>
      </w:pPr>
      <w:r>
        <w:t>A.</w:t>
      </w:r>
      <w:r>
        <w:tab/>
        <w:t>Mûrir le coulis selon les directives écrites du fabricant.</w:t>
      </w:r>
    </w:p>
    <w:p w:rsidR="00D54062" w:rsidRDefault="00D54062" w:rsidP="00D54062">
      <w:pPr>
        <w:pStyle w:val="A0"/>
      </w:pPr>
    </w:p>
    <w:p w:rsidR="00D54062" w:rsidRPr="00BA3242" w:rsidRDefault="00D54062" w:rsidP="00D54062">
      <w:pPr>
        <w:pStyle w:val="A1"/>
      </w:pPr>
      <w:r>
        <w:t>B.</w:t>
      </w:r>
      <w:r>
        <w:tab/>
        <w:t>Une fois le façonnage terminé, sceller toutes les surfaces avec 2 couches d'un produit de cure à teneur élevée en solides. Autrement, maintenir toutes les surfaces humides avec de l</w:t>
      </w:r>
      <w:r>
        <w:rPr>
          <w:rFonts w:cs="Helvetica"/>
          <w:cs/>
        </w:rPr>
        <w:t>’</w:t>
      </w:r>
      <w:r>
        <w:t>eau en les couvrant de jute ou de polyéthylène pendant un minimum de 72 heures.</w:t>
      </w:r>
    </w:p>
    <w:p w:rsidR="00D54062" w:rsidRDefault="00D54062" w:rsidP="00D54062">
      <w:pPr>
        <w:pStyle w:val="A1"/>
      </w:pPr>
    </w:p>
    <w:p w:rsidR="00D54062" w:rsidRPr="00BA3242" w:rsidRDefault="00D54062" w:rsidP="00D54062">
      <w:pPr>
        <w:pStyle w:val="GuideSpec"/>
      </w:pPr>
      <w:r>
        <w:t>3.6</w:t>
      </w:r>
      <w:r>
        <w:tab/>
        <w:t>NETTOYAGE</w:t>
      </w:r>
    </w:p>
    <w:p w:rsidR="00D54062" w:rsidRDefault="00D54062" w:rsidP="00D54062">
      <w:pPr>
        <w:pStyle w:val="GuideSpec"/>
      </w:pPr>
    </w:p>
    <w:p w:rsidR="006575C2" w:rsidRPr="00D54062" w:rsidRDefault="00D54062" w:rsidP="00D54062">
      <w:pPr>
        <w:ind w:firstLine="720"/>
        <w:rPr>
          <w:rFonts w:ascii="Helvetica" w:hAnsi="Helvetica"/>
          <w:sz w:val="20"/>
          <w:lang w:val="fr-CA" w:eastAsia="fr-CA"/>
        </w:rPr>
      </w:pPr>
      <w:r w:rsidRPr="00D54062">
        <w:rPr>
          <w:rFonts w:ascii="Helvetica" w:hAnsi="Helvetica"/>
          <w:sz w:val="20"/>
          <w:lang w:val="fr-CA" w:eastAsia="fr-CA"/>
        </w:rPr>
        <w:t>A.</w:t>
      </w:r>
      <w:r w:rsidRPr="00D54062">
        <w:rPr>
          <w:rFonts w:ascii="Helvetica" w:hAnsi="Helvetica"/>
          <w:sz w:val="20"/>
          <w:lang w:val="fr-CA" w:eastAsia="fr-CA"/>
        </w:rPr>
        <w:tab/>
        <w:t>Nettoyer les outils et le malaxeur avec de l'eau.</w:t>
      </w:r>
    </w:p>
    <w:p w:rsidR="00C87AD4" w:rsidRPr="00D54062" w:rsidRDefault="00C87AD4" w:rsidP="00C87AD4">
      <w:pPr>
        <w:autoSpaceDE w:val="0"/>
        <w:autoSpaceDN w:val="0"/>
        <w:adjustRightInd w:val="0"/>
        <w:jc w:val="both"/>
        <w:rPr>
          <w:lang w:val="fr-CA" w:eastAsia="fr-CA"/>
        </w:rPr>
      </w:pPr>
    </w:p>
    <w:p w:rsidR="00C87AD4" w:rsidRPr="00C87AD4" w:rsidRDefault="00C87AD4" w:rsidP="00C87AD4">
      <w:pPr>
        <w:ind w:left="720" w:hanging="720"/>
        <w:rPr>
          <w:rFonts w:ascii="Helvetica" w:hAnsi="Helvetica"/>
          <w:sz w:val="20"/>
        </w:rPr>
      </w:pPr>
    </w:p>
    <w:p w:rsidR="00C87AD4" w:rsidRPr="003A01D9" w:rsidRDefault="00C87AD4" w:rsidP="00C87AD4">
      <w:pPr>
        <w:rPr>
          <w:rFonts w:ascii="Helvetica" w:hAnsi="Helvetica"/>
          <w:color w:val="000000"/>
          <w:sz w:val="20"/>
        </w:rPr>
      </w:pPr>
    </w:p>
    <w:p w:rsidR="00C87AD4" w:rsidRPr="003A01D9" w:rsidRDefault="00C87AD4" w:rsidP="00C87AD4"/>
    <w:sectPr w:rsidR="00C87AD4" w:rsidRPr="003A01D9" w:rsidSect="00E9524D">
      <w:headerReference w:type="default" r:id="rId8"/>
      <w:footerReference w:type="default" r:id="rId9"/>
      <w:headerReference w:type="first" r:id="rId10"/>
      <w:footerReference w:type="first" r:id="rId11"/>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AF" w:rsidRDefault="008570AF" w:rsidP="009D4E90">
      <w:r>
        <w:separator/>
      </w:r>
    </w:p>
  </w:endnote>
  <w:endnote w:type="continuationSeparator" w:id="0">
    <w:p w:rsidR="008570AF" w:rsidRDefault="008570AF" w:rsidP="009D4E90">
      <w:r>
        <w:continuationSeparator/>
      </w:r>
    </w:p>
  </w:endnote>
  <w:endnote w:type="continuationNotice" w:id="1">
    <w:p w:rsidR="008570AF" w:rsidRDefault="0085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8570AF"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4C5658">
          <w:rPr>
            <w:noProof/>
          </w:rPr>
          <w:t>2</w:t>
        </w:r>
        <w:r w:rsidR="00396496">
          <w:rPr>
            <w:noProof/>
          </w:rPr>
          <w:fldChar w:fldCharType="end"/>
        </w:r>
        <w:r w:rsidR="00D54062">
          <w:rPr>
            <w:noProof/>
          </w:rPr>
          <w:tab/>
        </w:r>
        <w:r w:rsidR="00D54062">
          <w:rPr>
            <w:noProof/>
          </w:rPr>
          <w:tab/>
          <w:t>AOÛT</w:t>
        </w:r>
        <w:r w:rsidR="00CA2CA5">
          <w:rPr>
            <w:noProof/>
          </w:rPr>
          <w:t xml:space="preserve"> 201</w:t>
        </w:r>
        <w:r w:rsidR="00D54062">
          <w:rPr>
            <w:noProof/>
          </w:rPr>
          <w:t>5</w:t>
        </w:r>
      </w:sdtContent>
    </w:sdt>
    <w:r w:rsidR="00CA2CA5">
      <w:rPr>
        <w:noProof/>
      </w:rPr>
      <w:t xml:space="preserve"> </w:t>
    </w:r>
  </w:p>
  <w:p w:rsidR="009D4E90" w:rsidRDefault="009D4E90" w:rsidP="003A01D9">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rsidR="00CA2CA5" w:rsidRDefault="00CA2CA5" w:rsidP="00CA2CA5">
        <w:pPr>
          <w:pStyle w:val="Footer"/>
          <w:ind w:firstLine="4320"/>
        </w:pPr>
        <w:r>
          <w:fldChar w:fldCharType="begin"/>
        </w:r>
        <w:r>
          <w:instrText xml:space="preserve"> PAGE   \* MERGEFORMAT </w:instrText>
        </w:r>
        <w:r>
          <w:fldChar w:fldCharType="separate"/>
        </w:r>
        <w:r w:rsidR="004C5658">
          <w:rPr>
            <w:noProof/>
          </w:rPr>
          <w:t>1</w:t>
        </w:r>
        <w:r>
          <w:rPr>
            <w:noProof/>
          </w:rPr>
          <w:fldChar w:fldCharType="end"/>
        </w:r>
        <w:r>
          <w:rPr>
            <w:noProof/>
          </w:rPr>
          <w:tab/>
        </w:r>
        <w:r>
          <w:rPr>
            <w:noProof/>
          </w:rPr>
          <w:tab/>
          <w:t>A</w:t>
        </w:r>
        <w:r w:rsidR="004C5658">
          <w:rPr>
            <w:noProof/>
          </w:rPr>
          <w:t>OÛT</w:t>
        </w:r>
        <w:r>
          <w:rPr>
            <w:noProof/>
          </w:rPr>
          <w:t xml:space="preserve"> 201</w:t>
        </w:r>
        <w:r w:rsidR="004C5658">
          <w:rPr>
            <w:noProof/>
          </w:rPr>
          <w:t>5</w:t>
        </w:r>
      </w:p>
    </w:sdtContent>
  </w:sdt>
  <w:p w:rsidR="00620FB3" w:rsidRDefault="00620FB3" w:rsidP="003A01D9">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AF" w:rsidRDefault="008570AF" w:rsidP="009D4E90">
      <w:r>
        <w:separator/>
      </w:r>
    </w:p>
  </w:footnote>
  <w:footnote w:type="continuationSeparator" w:id="0">
    <w:p w:rsidR="008570AF" w:rsidRDefault="008570AF" w:rsidP="009D4E90">
      <w:r>
        <w:continuationSeparator/>
      </w:r>
    </w:p>
  </w:footnote>
  <w:footnote w:type="continuationNotice" w:id="1">
    <w:p w:rsidR="008570AF" w:rsidRDefault="008570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Pr="003A01D9" w:rsidRDefault="00560FB2" w:rsidP="003A01D9">
    <w:pPr>
      <w:pStyle w:val="Header"/>
      <w:tabs>
        <w:tab w:val="clear" w:pos="9360"/>
        <w:tab w:val="right" w:pos="10800"/>
      </w:tabs>
      <w:ind w:left="-1440"/>
      <w:jc w:val="center"/>
    </w:pPr>
  </w:p>
  <w:p w:rsidR="009D4E90" w:rsidRPr="003A01D9" w:rsidRDefault="005A2113" w:rsidP="003A01D9">
    <w:pPr>
      <w:pStyle w:val="Header"/>
      <w:tabs>
        <w:tab w:val="clear" w:pos="9360"/>
        <w:tab w:val="right" w:pos="10800"/>
      </w:tabs>
      <w:ind w:left="-1440"/>
      <w:jc w:val="center"/>
    </w:pPr>
    <w:r>
      <w:rPr>
        <w:noProof/>
        <w:lang w:val="en-CA" w:eastAsia="en-CA"/>
      </w:rPr>
      <w:drawing>
        <wp:anchor distT="0" distB="0" distL="114300" distR="114300" simplePos="0" relativeHeight="251658240" behindDoc="1" locked="0" layoutInCell="1" allowOverlap="1" wp14:anchorId="16A1510B" wp14:editId="45AECAE5">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AA20C3">
    <w:pPr>
      <w:pStyle w:val="Header"/>
    </w:pPr>
    <w:r>
      <w:rPr>
        <w:noProof/>
        <w:lang w:val="en-CA" w:eastAsia="en-CA"/>
      </w:rPr>
      <w:drawing>
        <wp:anchor distT="0" distB="0" distL="114300" distR="114300" simplePos="0" relativeHeight="251659264" behindDoc="0" locked="0" layoutInCell="1" allowOverlap="1">
          <wp:simplePos x="0" y="0"/>
          <wp:positionH relativeFrom="column">
            <wp:posOffset>-965916</wp:posOffset>
          </wp:positionH>
          <wp:positionV relativeFrom="paragraph">
            <wp:posOffset>134799</wp:posOffset>
          </wp:positionV>
          <wp:extent cx="7761605" cy="1054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Euclid Can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60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7"/>
  </w:num>
  <w:num w:numId="3">
    <w:abstractNumId w:val="0"/>
  </w:num>
  <w:num w:numId="4">
    <w:abstractNumId w:val="10"/>
  </w:num>
  <w:num w:numId="5">
    <w:abstractNumId w:val="5"/>
  </w:num>
  <w:num w:numId="6">
    <w:abstractNumId w:val="22"/>
  </w:num>
  <w:num w:numId="7">
    <w:abstractNumId w:val="11"/>
  </w:num>
  <w:num w:numId="8">
    <w:abstractNumId w:val="6"/>
  </w:num>
  <w:num w:numId="9">
    <w:abstractNumId w:val="4"/>
  </w:num>
  <w:num w:numId="10">
    <w:abstractNumId w:val="3"/>
  </w:num>
  <w:num w:numId="11">
    <w:abstractNumId w:val="19"/>
  </w:num>
  <w:num w:numId="12">
    <w:abstractNumId w:val="26"/>
  </w:num>
  <w:num w:numId="13">
    <w:abstractNumId w:val="21"/>
  </w:num>
  <w:num w:numId="14">
    <w:abstractNumId w:val="8"/>
  </w:num>
  <w:num w:numId="15">
    <w:abstractNumId w:val="2"/>
  </w:num>
  <w:num w:numId="16">
    <w:abstractNumId w:val="9"/>
  </w:num>
  <w:num w:numId="17">
    <w:abstractNumId w:val="23"/>
  </w:num>
  <w:num w:numId="18">
    <w:abstractNumId w:val="20"/>
  </w:num>
  <w:num w:numId="19">
    <w:abstractNumId w:val="13"/>
  </w:num>
  <w:num w:numId="20">
    <w:abstractNumId w:val="12"/>
  </w:num>
  <w:num w:numId="21">
    <w:abstractNumId w:val="14"/>
  </w:num>
  <w:num w:numId="22">
    <w:abstractNumId w:val="18"/>
  </w:num>
  <w:num w:numId="23">
    <w:abstractNumId w:val="24"/>
  </w:num>
  <w:num w:numId="24">
    <w:abstractNumId w:val="25"/>
  </w:num>
  <w:num w:numId="25">
    <w:abstractNumId w:val="16"/>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88"/>
    <w:rsid w:val="0000081A"/>
    <w:rsid w:val="00003A6D"/>
    <w:rsid w:val="00012095"/>
    <w:rsid w:val="00012104"/>
    <w:rsid w:val="0002125B"/>
    <w:rsid w:val="000332FD"/>
    <w:rsid w:val="000344EC"/>
    <w:rsid w:val="00040045"/>
    <w:rsid w:val="00044A2F"/>
    <w:rsid w:val="00060AE9"/>
    <w:rsid w:val="000646EE"/>
    <w:rsid w:val="00091FEE"/>
    <w:rsid w:val="00096472"/>
    <w:rsid w:val="000A4219"/>
    <w:rsid w:val="000B09F5"/>
    <w:rsid w:val="000B2178"/>
    <w:rsid w:val="000C07B7"/>
    <w:rsid w:val="000C2924"/>
    <w:rsid w:val="000D3E8E"/>
    <w:rsid w:val="0010539E"/>
    <w:rsid w:val="00105836"/>
    <w:rsid w:val="001059C5"/>
    <w:rsid w:val="00135925"/>
    <w:rsid w:val="00142DB6"/>
    <w:rsid w:val="00166075"/>
    <w:rsid w:val="001759DF"/>
    <w:rsid w:val="00175AD4"/>
    <w:rsid w:val="00193F92"/>
    <w:rsid w:val="001A404A"/>
    <w:rsid w:val="001C61EF"/>
    <w:rsid w:val="001C6E84"/>
    <w:rsid w:val="001D4AA7"/>
    <w:rsid w:val="001D5CA3"/>
    <w:rsid w:val="001E2CD7"/>
    <w:rsid w:val="001F1DA2"/>
    <w:rsid w:val="001F34CC"/>
    <w:rsid w:val="00206E10"/>
    <w:rsid w:val="00245B45"/>
    <w:rsid w:val="0025198A"/>
    <w:rsid w:val="00274B03"/>
    <w:rsid w:val="002766BC"/>
    <w:rsid w:val="00282CCD"/>
    <w:rsid w:val="00284175"/>
    <w:rsid w:val="0029048B"/>
    <w:rsid w:val="002D64B0"/>
    <w:rsid w:val="002E3780"/>
    <w:rsid w:val="002E6938"/>
    <w:rsid w:val="002F31E7"/>
    <w:rsid w:val="002F599D"/>
    <w:rsid w:val="00320A9C"/>
    <w:rsid w:val="003319C1"/>
    <w:rsid w:val="0036417C"/>
    <w:rsid w:val="00380F81"/>
    <w:rsid w:val="003943FF"/>
    <w:rsid w:val="00396496"/>
    <w:rsid w:val="0039711C"/>
    <w:rsid w:val="003A01D9"/>
    <w:rsid w:val="003A1726"/>
    <w:rsid w:val="003D0CB8"/>
    <w:rsid w:val="003E7EDE"/>
    <w:rsid w:val="003F7BFA"/>
    <w:rsid w:val="00413572"/>
    <w:rsid w:val="00443692"/>
    <w:rsid w:val="00452A3D"/>
    <w:rsid w:val="004A1BAC"/>
    <w:rsid w:val="004A345B"/>
    <w:rsid w:val="004C2992"/>
    <w:rsid w:val="004C5658"/>
    <w:rsid w:val="004E3C3E"/>
    <w:rsid w:val="004E6C26"/>
    <w:rsid w:val="004E71A4"/>
    <w:rsid w:val="004F00D1"/>
    <w:rsid w:val="004F4464"/>
    <w:rsid w:val="00504563"/>
    <w:rsid w:val="00513B58"/>
    <w:rsid w:val="00527300"/>
    <w:rsid w:val="00532A39"/>
    <w:rsid w:val="005465DD"/>
    <w:rsid w:val="0055387C"/>
    <w:rsid w:val="0055413F"/>
    <w:rsid w:val="005601F3"/>
    <w:rsid w:val="00560FB2"/>
    <w:rsid w:val="00576ED8"/>
    <w:rsid w:val="00595FA1"/>
    <w:rsid w:val="005A2113"/>
    <w:rsid w:val="005A5116"/>
    <w:rsid w:val="005A5C99"/>
    <w:rsid w:val="005B3895"/>
    <w:rsid w:val="005B5A34"/>
    <w:rsid w:val="005D2246"/>
    <w:rsid w:val="005D39DF"/>
    <w:rsid w:val="005D6DAA"/>
    <w:rsid w:val="005E6160"/>
    <w:rsid w:val="005F4C54"/>
    <w:rsid w:val="00620FB3"/>
    <w:rsid w:val="00642A21"/>
    <w:rsid w:val="006462C2"/>
    <w:rsid w:val="006575C2"/>
    <w:rsid w:val="00671E12"/>
    <w:rsid w:val="00672940"/>
    <w:rsid w:val="0067294F"/>
    <w:rsid w:val="006C4DE2"/>
    <w:rsid w:val="006E22F1"/>
    <w:rsid w:val="006E4288"/>
    <w:rsid w:val="00703770"/>
    <w:rsid w:val="00703BA6"/>
    <w:rsid w:val="0072544D"/>
    <w:rsid w:val="007411DF"/>
    <w:rsid w:val="0074760D"/>
    <w:rsid w:val="00750559"/>
    <w:rsid w:val="00755167"/>
    <w:rsid w:val="00757DD0"/>
    <w:rsid w:val="007763FA"/>
    <w:rsid w:val="007A5A56"/>
    <w:rsid w:val="007D10A9"/>
    <w:rsid w:val="007D2AAA"/>
    <w:rsid w:val="00803A92"/>
    <w:rsid w:val="00807AEB"/>
    <w:rsid w:val="00840015"/>
    <w:rsid w:val="00855D46"/>
    <w:rsid w:val="008570AF"/>
    <w:rsid w:val="00884941"/>
    <w:rsid w:val="008B186B"/>
    <w:rsid w:val="008C7CE8"/>
    <w:rsid w:val="008D24DB"/>
    <w:rsid w:val="008D6EC0"/>
    <w:rsid w:val="008E77EE"/>
    <w:rsid w:val="00901F2B"/>
    <w:rsid w:val="00903173"/>
    <w:rsid w:val="009134B7"/>
    <w:rsid w:val="00930689"/>
    <w:rsid w:val="00953C43"/>
    <w:rsid w:val="00963A6D"/>
    <w:rsid w:val="009946CE"/>
    <w:rsid w:val="009A2FB7"/>
    <w:rsid w:val="009C2364"/>
    <w:rsid w:val="009D1A4C"/>
    <w:rsid w:val="009D4E90"/>
    <w:rsid w:val="009D6F43"/>
    <w:rsid w:val="009E70C0"/>
    <w:rsid w:val="009F3857"/>
    <w:rsid w:val="00A1221D"/>
    <w:rsid w:val="00A131E4"/>
    <w:rsid w:val="00A153AC"/>
    <w:rsid w:val="00A35E4A"/>
    <w:rsid w:val="00A41FA2"/>
    <w:rsid w:val="00A70449"/>
    <w:rsid w:val="00A70634"/>
    <w:rsid w:val="00A7329A"/>
    <w:rsid w:val="00A90D4D"/>
    <w:rsid w:val="00A96DA9"/>
    <w:rsid w:val="00AA20C3"/>
    <w:rsid w:val="00AC2D20"/>
    <w:rsid w:val="00AD2988"/>
    <w:rsid w:val="00AE2032"/>
    <w:rsid w:val="00AE6310"/>
    <w:rsid w:val="00B2663A"/>
    <w:rsid w:val="00B36F4D"/>
    <w:rsid w:val="00B40D67"/>
    <w:rsid w:val="00B525B9"/>
    <w:rsid w:val="00B535B4"/>
    <w:rsid w:val="00B56496"/>
    <w:rsid w:val="00B606DB"/>
    <w:rsid w:val="00B61909"/>
    <w:rsid w:val="00B827A5"/>
    <w:rsid w:val="00B90EA3"/>
    <w:rsid w:val="00B95DD1"/>
    <w:rsid w:val="00BA2FED"/>
    <w:rsid w:val="00BA52E6"/>
    <w:rsid w:val="00BA53E2"/>
    <w:rsid w:val="00BA587A"/>
    <w:rsid w:val="00BA6550"/>
    <w:rsid w:val="00BC4988"/>
    <w:rsid w:val="00BF041E"/>
    <w:rsid w:val="00BF6AB0"/>
    <w:rsid w:val="00BF6EC0"/>
    <w:rsid w:val="00C05F98"/>
    <w:rsid w:val="00C12A8B"/>
    <w:rsid w:val="00C156A0"/>
    <w:rsid w:val="00C1629D"/>
    <w:rsid w:val="00C260E5"/>
    <w:rsid w:val="00C32A28"/>
    <w:rsid w:val="00C61C73"/>
    <w:rsid w:val="00C77556"/>
    <w:rsid w:val="00C87AD4"/>
    <w:rsid w:val="00CA2CA5"/>
    <w:rsid w:val="00CB314C"/>
    <w:rsid w:val="00CB6A08"/>
    <w:rsid w:val="00CC4E1A"/>
    <w:rsid w:val="00CD3E8A"/>
    <w:rsid w:val="00CD551D"/>
    <w:rsid w:val="00CD78FE"/>
    <w:rsid w:val="00D008C6"/>
    <w:rsid w:val="00D00B18"/>
    <w:rsid w:val="00D54062"/>
    <w:rsid w:val="00D566F8"/>
    <w:rsid w:val="00D67989"/>
    <w:rsid w:val="00D74A84"/>
    <w:rsid w:val="00D75174"/>
    <w:rsid w:val="00D808D9"/>
    <w:rsid w:val="00D81FED"/>
    <w:rsid w:val="00DB01D0"/>
    <w:rsid w:val="00DC1BBF"/>
    <w:rsid w:val="00DD58E0"/>
    <w:rsid w:val="00E113C9"/>
    <w:rsid w:val="00E251FB"/>
    <w:rsid w:val="00E31B8D"/>
    <w:rsid w:val="00E323FD"/>
    <w:rsid w:val="00E50DF0"/>
    <w:rsid w:val="00E620CB"/>
    <w:rsid w:val="00E6247B"/>
    <w:rsid w:val="00E713F8"/>
    <w:rsid w:val="00E76523"/>
    <w:rsid w:val="00E765B1"/>
    <w:rsid w:val="00E77794"/>
    <w:rsid w:val="00E87799"/>
    <w:rsid w:val="00E9524D"/>
    <w:rsid w:val="00E97826"/>
    <w:rsid w:val="00EC5B10"/>
    <w:rsid w:val="00EE23CA"/>
    <w:rsid w:val="00EF4914"/>
    <w:rsid w:val="00EF6430"/>
    <w:rsid w:val="00F163CE"/>
    <w:rsid w:val="00F61B32"/>
    <w:rsid w:val="00F85646"/>
    <w:rsid w:val="00FC560C"/>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7FC59-47A1-4EE4-88E1-5D62D892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D54062"/>
    <w:rPr>
      <w:rFonts w:ascii="Helvetica" w:hAnsi="Helvetica"/>
      <w:sz w:val="20"/>
      <w:lang w:val="fr-CA" w:eastAsia="fr-CA"/>
    </w:rPr>
  </w:style>
  <w:style w:type="character" w:customStyle="1" w:styleId="GuideSpecChar">
    <w:name w:val="Guide Spec Char"/>
    <w:link w:val="GuideSpec"/>
    <w:rsid w:val="00D54062"/>
    <w:rPr>
      <w:rFonts w:ascii="Helvetica" w:eastAsia="Times New Roman" w:hAnsi="Helvetica" w:cs="Times New Roman"/>
      <w:szCs w:val="20"/>
      <w:lang w:val="fr-CA" w:eastAsia="fr-CA"/>
    </w:rPr>
  </w:style>
  <w:style w:type="paragraph" w:customStyle="1" w:styleId="a">
    <w:name w:val="a)"/>
    <w:basedOn w:val="Normal"/>
    <w:link w:val="aChar"/>
    <w:qFormat/>
    <w:rsid w:val="00D54062"/>
    <w:pPr>
      <w:ind w:left="2520" w:hanging="360"/>
    </w:pPr>
    <w:rPr>
      <w:rFonts w:ascii="Helvetica" w:hAnsi="Helvetica"/>
      <w:sz w:val="20"/>
      <w:lang w:val="fr-CA" w:eastAsia="fr-CA"/>
    </w:rPr>
  </w:style>
  <w:style w:type="character" w:customStyle="1" w:styleId="aChar">
    <w:name w:val="a) Char"/>
    <w:link w:val="a"/>
    <w:rsid w:val="00D54062"/>
    <w:rPr>
      <w:rFonts w:ascii="Helvetica" w:eastAsia="Times New Roman" w:hAnsi="Helvetica" w:cs="Times New Roman"/>
      <w:szCs w:val="20"/>
      <w:lang w:val="fr-CA" w:eastAsia="fr-CA"/>
    </w:rPr>
  </w:style>
  <w:style w:type="paragraph" w:customStyle="1" w:styleId="A0">
    <w:name w:val="A."/>
    <w:basedOn w:val="GuideSpec"/>
    <w:link w:val="AChar0"/>
    <w:rsid w:val="00D54062"/>
    <w:pPr>
      <w:ind w:firstLine="720"/>
    </w:pPr>
  </w:style>
  <w:style w:type="character" w:customStyle="1" w:styleId="AChar0">
    <w:name w:val="A. Char"/>
    <w:link w:val="A0"/>
    <w:rsid w:val="00D54062"/>
    <w:rPr>
      <w:rFonts w:ascii="Helvetica" w:eastAsia="Times New Roman" w:hAnsi="Helvetica" w:cs="Times New Roman"/>
      <w:szCs w:val="20"/>
      <w:lang w:val="fr-CA" w:eastAsia="fr-CA"/>
    </w:rPr>
  </w:style>
  <w:style w:type="paragraph" w:customStyle="1" w:styleId="A1">
    <w:name w:val="A.."/>
    <w:basedOn w:val="A0"/>
    <w:link w:val="AChar1"/>
    <w:qFormat/>
    <w:rsid w:val="00D54062"/>
    <w:pPr>
      <w:ind w:left="1440" w:hanging="720"/>
    </w:pPr>
  </w:style>
  <w:style w:type="character" w:customStyle="1" w:styleId="AChar1">
    <w:name w:val="A.. Char"/>
    <w:basedOn w:val="AChar0"/>
    <w:link w:val="A1"/>
    <w:rsid w:val="00D54062"/>
    <w:rPr>
      <w:rFonts w:ascii="Helvetica" w:eastAsia="Times New Roman" w:hAnsi="Helvetica" w:cs="Times New Roman"/>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4DA1-920D-46F1-A633-479136F3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MMB</cp:lastModifiedBy>
  <cp:revision>5</cp:revision>
  <cp:lastPrinted>2014-12-04T18:23:00Z</cp:lastPrinted>
  <dcterms:created xsi:type="dcterms:W3CDTF">2016-11-15T21:02:00Z</dcterms:created>
  <dcterms:modified xsi:type="dcterms:W3CDTF">2016-11-16T20:17:00Z</dcterms:modified>
</cp:coreProperties>
</file>